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4231CB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博湖县查干诺尔乡财政项目支出绩效自评报告</w:t>
      </w:r>
    </w:p>
    <w:p w:rsidR="00EF1569" w:rsidRDefault="00EF1569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EF1569" w:rsidRDefault="004231CB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>2018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:rsidR="00EF1569" w:rsidRDefault="00EF1569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EF1569" w:rsidRDefault="004231CB">
      <w:pPr>
        <w:spacing w:line="700" w:lineRule="exact"/>
        <w:ind w:firstLineChars="300" w:firstLine="108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项目名称：扶贫小额信用贷款贴息资金</w:t>
      </w:r>
    </w:p>
    <w:p w:rsidR="00EF1569" w:rsidRDefault="004231CB">
      <w:pPr>
        <w:spacing w:line="700" w:lineRule="exact"/>
        <w:ind w:firstLineChars="300" w:firstLine="108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实施单位（公章）：查干诺尔乡人民政府</w:t>
      </w:r>
    </w:p>
    <w:p w:rsidR="00EF1569" w:rsidRDefault="004231CB">
      <w:pPr>
        <w:spacing w:line="700" w:lineRule="exact"/>
        <w:ind w:firstLineChars="300" w:firstLine="108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主管部门（公章）：县扶贫办</w:t>
      </w:r>
    </w:p>
    <w:p w:rsidR="00EF1569" w:rsidRDefault="004231CB">
      <w:pPr>
        <w:spacing w:line="700" w:lineRule="exact"/>
        <w:ind w:firstLineChars="300" w:firstLine="108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项目负责人（签章）：宋京</w:t>
      </w:r>
    </w:p>
    <w:p w:rsidR="00EF1569" w:rsidRDefault="004231CB">
      <w:pPr>
        <w:spacing w:line="700" w:lineRule="exact"/>
        <w:ind w:firstLineChars="300" w:firstLine="108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Fonts w:eastAsia="仿宋_GB2312" w:hAnsi="宋体" w:cs="宋体" w:hint="eastAsia"/>
          <w:kern w:val="0"/>
          <w:sz w:val="36"/>
          <w:szCs w:val="36"/>
        </w:rPr>
        <w:t>2018</w:t>
      </w:r>
      <w:r>
        <w:rPr>
          <w:rFonts w:eastAsia="仿宋_GB2312" w:hAnsi="宋体" w:cs="宋体" w:hint="eastAsia"/>
          <w:kern w:val="0"/>
          <w:sz w:val="36"/>
          <w:szCs w:val="36"/>
        </w:rPr>
        <w:t>年</w:t>
      </w:r>
      <w:r>
        <w:rPr>
          <w:rFonts w:eastAsia="仿宋_GB2312" w:hAnsi="宋体" w:cs="宋体" w:hint="eastAsia"/>
          <w:kern w:val="0"/>
          <w:sz w:val="36"/>
          <w:szCs w:val="36"/>
        </w:rPr>
        <w:t>12</w:t>
      </w:r>
      <w:r>
        <w:rPr>
          <w:rFonts w:eastAsia="仿宋_GB2312" w:hAnsi="宋体" w:cs="宋体" w:hint="eastAsia"/>
          <w:kern w:val="0"/>
          <w:sz w:val="36"/>
          <w:szCs w:val="36"/>
        </w:rPr>
        <w:t>月</w:t>
      </w:r>
      <w:r>
        <w:rPr>
          <w:rFonts w:eastAsia="仿宋_GB2312" w:hAnsi="宋体" w:cs="宋体" w:hint="eastAsia"/>
          <w:kern w:val="0"/>
          <w:sz w:val="36"/>
          <w:szCs w:val="36"/>
        </w:rPr>
        <w:t>30</w:t>
      </w:r>
      <w:r>
        <w:rPr>
          <w:rFonts w:eastAsia="仿宋_GB2312" w:hAnsi="宋体" w:cs="宋体" w:hint="eastAsia"/>
          <w:kern w:val="0"/>
          <w:sz w:val="36"/>
          <w:szCs w:val="36"/>
        </w:rPr>
        <w:t>日</w:t>
      </w:r>
    </w:p>
    <w:p w:rsidR="00EF1569" w:rsidRDefault="00EF1569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EF1569" w:rsidRDefault="00EF1569">
      <w:pPr>
        <w:spacing w:line="540" w:lineRule="exact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lastRenderedPageBreak/>
        <w:t>一、项目概况</w:t>
      </w:r>
    </w:p>
    <w:p w:rsidR="00EF1569" w:rsidRDefault="004231CB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（一）项目单位基本情况</w:t>
      </w:r>
    </w:p>
    <w:p w:rsidR="00EF1569" w:rsidRDefault="00FE6D00">
      <w:pPr>
        <w:spacing w:line="540" w:lineRule="exact"/>
        <w:ind w:firstLineChars="200" w:firstLine="624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1、</w:t>
      </w:r>
      <w:r w:rsidR="004231CB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该项目属于对个人家庭补助类项目，</w:t>
      </w:r>
      <w:r w:rsidR="004231CB"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37户扶贫小额信用贷款贴息资金，</w:t>
      </w:r>
      <w:r w:rsidR="004231CB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主要用于贫困户小额信贷补贴</w:t>
      </w:r>
    </w:p>
    <w:p w:rsidR="00FE6D00" w:rsidRDefault="00FE6D00" w:rsidP="00FE6D00">
      <w:pPr>
        <w:spacing w:line="540" w:lineRule="exact"/>
        <w:ind w:firstLineChars="200" w:firstLine="624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FE6D00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2、绩效工作职责分工。按照绩效管理工作要求，我单位绩效管理工作由主要领导负总责，由分管领导重点抓、由项目经办人和财务人员具体执行和开展绩效工作。</w:t>
      </w:r>
    </w:p>
    <w:p w:rsidR="00EF1569" w:rsidRDefault="004231CB" w:rsidP="00FE6D00">
      <w:pPr>
        <w:spacing w:line="540" w:lineRule="exact"/>
        <w:ind w:firstLineChars="181" w:firstLine="565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（二）项目预算</w:t>
      </w:r>
      <w:r>
        <w:rPr>
          <w:rStyle w:val="a8"/>
          <w:rFonts w:ascii="楷体" w:eastAsia="楷体" w:hAnsi="楷体"/>
          <w:spacing w:val="-4"/>
          <w:sz w:val="32"/>
          <w:szCs w:val="32"/>
        </w:rPr>
        <w:t>绩效目标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设定情况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该项目为小额信贷补贴有效地帮助低收入贫困户实现增收目标，更好得让37户贫困户如期脱贫。</w:t>
      </w:r>
    </w:p>
    <w:p w:rsidR="00EF1569" w:rsidRDefault="004231CB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本项目共设置一级指标3个、二级指标</w:t>
      </w:r>
      <w:r w:rsidR="00BE6802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7</w:t>
      </w: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个、三级指标</w:t>
      </w:r>
      <w:r w:rsidR="00BE6802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10</w:t>
      </w: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个。三级指标可量化10个，占比100%。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二、项目资金使用及管理情况</w:t>
      </w:r>
    </w:p>
    <w:p w:rsidR="00EF1569" w:rsidRDefault="004231CB" w:rsidP="00FE6D00">
      <w:pPr>
        <w:spacing w:line="540" w:lineRule="exact"/>
        <w:ind w:firstLineChars="181" w:firstLine="565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（一）项目资金安排落实、总投入等情况分析</w:t>
      </w:r>
    </w:p>
    <w:p w:rsidR="00EF1569" w:rsidRDefault="004231CB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县级配套资金总投入7.6万元，2018年已全部用于小额信贷补贴补贴, 已全部到位，到位率100%。</w:t>
      </w:r>
    </w:p>
    <w:p w:rsidR="00EF1569" w:rsidRDefault="004231CB" w:rsidP="00FE6D00">
      <w:pPr>
        <w:spacing w:line="540" w:lineRule="exact"/>
        <w:ind w:firstLineChars="181" w:firstLine="565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（二）项目资金实际使用情况分析</w:t>
      </w:r>
    </w:p>
    <w:p w:rsidR="00EF1569" w:rsidRDefault="004231CB">
      <w:pPr>
        <w:spacing w:line="540" w:lineRule="exact"/>
        <w:ind w:firstLineChars="200" w:firstLine="624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  <w:r>
        <w:rPr>
          <w:rStyle w:val="a8"/>
          <w:rFonts w:ascii="仿宋" w:eastAsia="仿宋" w:hAnsi="仿宋" w:hint="eastAsia"/>
          <w:b w:val="0"/>
          <w:spacing w:val="-4"/>
          <w:sz w:val="32"/>
          <w:szCs w:val="32"/>
        </w:rPr>
        <w:t>本项目</w:t>
      </w: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县级配套资金总投入7.6万元，2018年已全部用于小额信贷补贴补贴, 已全部到位，到位率100%。</w:t>
      </w:r>
    </w:p>
    <w:p w:rsidR="00EF1569" w:rsidRDefault="004231CB">
      <w:pPr>
        <w:spacing w:line="540" w:lineRule="exact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 xml:space="preserve">   （三）项目资金管理情况分析</w:t>
      </w:r>
    </w:p>
    <w:p w:rsidR="00EF1569" w:rsidRDefault="004231CB">
      <w:pPr>
        <w:spacing w:line="540" w:lineRule="exact"/>
        <w:ind w:firstLineChars="200" w:firstLine="624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该项目由查干诺尔乡人民政府组织实施，在项目实施过程中，一是填写《博湖县县财政专项资金审批表》上报县政府及相关部门审批；二是根据博湖县财政专项资金审批表》核算项目资金，并按照《博湖县财政专项资金管理办法》、《博湖县政府采购资金管理办法》等办法对项目资金实行专款专用，按</w:t>
      </w:r>
      <w:r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lastRenderedPageBreak/>
        <w:t>照谁主管、谁负责的原则，明确项目管理和实施的具体责任；二是是严格执行财务会计各项制度、项目资金使用各项制度、乡政府财务管理制度。三是项目资金严格按照工程进度支付。四是项目资金无截留、滞留、违规抵扣等现象。七是按月向财政上报资金使用进度情况反馈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三、项目组织实施情况</w:t>
      </w:r>
    </w:p>
    <w:p w:rsidR="00EF1569" w:rsidRDefault="004231CB" w:rsidP="00FE6D00">
      <w:pPr>
        <w:spacing w:line="540" w:lineRule="exact"/>
        <w:ind w:firstLineChars="181" w:firstLine="565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（一）项目组织情况分析</w:t>
      </w:r>
    </w:p>
    <w:p w:rsidR="00EF1569" w:rsidRPr="005E2ADA" w:rsidRDefault="004231CB">
      <w:pPr>
        <w:spacing w:line="540" w:lineRule="exact"/>
        <w:ind w:firstLineChars="200" w:firstLine="624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项目经经县扶贫办和县财政局批准，乡人民政府积极谋划，按照扶贫项目建设标准，规范实施，经我乡自验合格，请县扶贫办派相关人员前来进行综合验收。</w:t>
      </w:r>
    </w:p>
    <w:p w:rsidR="00EF1569" w:rsidRDefault="004231CB" w:rsidP="00FE6D00">
      <w:pPr>
        <w:spacing w:line="540" w:lineRule="exact"/>
        <w:ind w:firstLineChars="181" w:firstLine="565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（二）项目管理情况分析</w:t>
      </w:r>
    </w:p>
    <w:p w:rsidR="00EF1569" w:rsidRPr="005E2ADA" w:rsidRDefault="004231CB">
      <w:pPr>
        <w:spacing w:line="540" w:lineRule="exact"/>
        <w:ind w:firstLineChars="200" w:firstLine="624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制定相关项目监管制度，安排专人定期监管，发现问题及时联系相关部门解决，保障项目正常实施，达到预期效益。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四、项目绩效情况</w:t>
      </w:r>
    </w:p>
    <w:p w:rsidR="00EF1569" w:rsidRDefault="004231CB" w:rsidP="00FE6D00">
      <w:pPr>
        <w:spacing w:line="540" w:lineRule="exact"/>
        <w:ind w:firstLineChars="181" w:firstLine="565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（一）项目绩效目标完成情况分析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项目实施后通过项目监管，实时监督，确保项目绩效目标按照预期绩效目标推进，达到预期效益，农户受益。</w:t>
      </w:r>
    </w:p>
    <w:p w:rsidR="00EF1569" w:rsidRDefault="004231CB" w:rsidP="00FE6D00">
      <w:pPr>
        <w:spacing w:line="540" w:lineRule="exact"/>
        <w:ind w:firstLineChars="181" w:firstLine="565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（二）项目绩效目标未完成原因分析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该项目已完成所有设定的绩效目标任务，完成率100%，不存在未完成目标值情况。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五、其他需要说明的问题</w:t>
      </w:r>
    </w:p>
    <w:p w:rsidR="00EF1569" w:rsidRDefault="004231CB" w:rsidP="00FE6D00">
      <w:pPr>
        <w:spacing w:line="540" w:lineRule="exact"/>
        <w:ind w:firstLineChars="181" w:firstLine="565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（一）后续工作计划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一是对项目继续加强监控；二是合理、准确地制定完善的项目管理制度，有效保障项目高效运行；三是加强对项目执行的考核，包括实时跟踪监控机制、验收机制。</w:t>
      </w:r>
    </w:p>
    <w:p w:rsidR="00EF1569" w:rsidRDefault="004231CB" w:rsidP="00FE6D00">
      <w:pPr>
        <w:spacing w:line="540" w:lineRule="exact"/>
        <w:ind w:firstLineChars="181" w:firstLine="565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lastRenderedPageBreak/>
        <w:t>（二）主要经验及做法、存在问题和建议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1、主要做法及经验：一是项目实施过程中，严格按照项目合同内容执行。自觉把好项目资金的合理使用关，做到专款专用，严格按照项目要求投入资金，无截留、滞留、违规抵扣等现象。二是资金使用情况由县财经领导小组、财政局严格把关。无转移、转存资金、帐外设帐、私设小金库等问题。三是项目实施过程中，严格按照项目资金管理办法和实施方案使用资金，做到专款专用。无挤占、串用、挪用资金现象。无虚列工程开支、虚报冒领项目资金和改变资金用途等问题。在具体的项目资金使用中确保项目资金使用安全。</w:t>
      </w:r>
    </w:p>
    <w:p w:rsidR="00EF1569" w:rsidRPr="005E2ADA" w:rsidRDefault="004231CB">
      <w:pPr>
        <w:snapToGrid w:val="0"/>
        <w:spacing w:line="600" w:lineRule="exact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 xml:space="preserve">    2、存在的问题：无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3、建议：一是加强项目后续监督与管理；二是加强专业人员培训，建立监督管理机制；三是加大资金投入，确保项目能够按时完成。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六、项目评价工作情况</w:t>
      </w:r>
    </w:p>
    <w:p w:rsidR="00EF1569" w:rsidRPr="005E2ADA" w:rsidRDefault="004231CB" w:rsidP="002F033A">
      <w:pPr>
        <w:spacing w:line="540" w:lineRule="exact"/>
        <w:ind w:firstLineChars="181" w:firstLine="565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经综合评价，本项目实施达成预期指标。基础数据资料收集、来源和依据等佐证材料齐全完备、现场勘验检查核实与实际情况一致。资金管理由下而上，层层把关，使用、管理、保障到位。资金管理制度、项目管理制度完善，综合评价得分为100分。</w:t>
      </w:r>
    </w:p>
    <w:p w:rsidR="00EF1569" w:rsidRDefault="004231CB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七、附表</w:t>
      </w:r>
    </w:p>
    <w:p w:rsidR="00EF1569" w:rsidRPr="005E2ADA" w:rsidRDefault="004231CB">
      <w:pPr>
        <w:spacing w:line="540" w:lineRule="exact"/>
        <w:ind w:firstLine="567"/>
        <w:rPr>
          <w:rStyle w:val="a8"/>
          <w:rFonts w:ascii="方正仿宋_GBK" w:eastAsia="方正仿宋_GBK" w:hAnsi="方正仿宋_GBK" w:cs="方正仿宋_GBK"/>
          <w:b w:val="0"/>
          <w:spacing w:val="-4"/>
          <w:sz w:val="32"/>
          <w:szCs w:val="32"/>
        </w:rPr>
      </w:pPr>
      <w:r w:rsidRPr="005E2ADA">
        <w:rPr>
          <w:rStyle w:val="a8"/>
          <w:rFonts w:ascii="方正仿宋_GBK" w:eastAsia="方正仿宋_GBK" w:hAnsi="方正仿宋_GBK" w:cs="方正仿宋_GBK" w:hint="eastAsia"/>
          <w:b w:val="0"/>
          <w:spacing w:val="-4"/>
          <w:sz w:val="32"/>
          <w:szCs w:val="32"/>
        </w:rPr>
        <w:t>《博湖县查干诺尔乡地区财政项目支出绩效自评表》</w:t>
      </w:r>
    </w:p>
    <w:tbl>
      <w:tblPr>
        <w:tblW w:w="9020" w:type="dxa"/>
        <w:tblInd w:w="93" w:type="dxa"/>
        <w:tblLayout w:type="fixed"/>
        <w:tblLook w:val="0000"/>
      </w:tblPr>
      <w:tblGrid>
        <w:gridCol w:w="1123"/>
        <w:gridCol w:w="1123"/>
        <w:gridCol w:w="1123"/>
        <w:gridCol w:w="1124"/>
        <w:gridCol w:w="625"/>
        <w:gridCol w:w="499"/>
        <w:gridCol w:w="1486"/>
        <w:gridCol w:w="563"/>
        <w:gridCol w:w="1354"/>
      </w:tblGrid>
      <w:tr w:rsidR="00EF1569">
        <w:trPr>
          <w:trHeight w:val="40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33A" w:rsidRDefault="002F03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  <w:p w:rsidR="002F033A" w:rsidRDefault="002F03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  <w:p w:rsidR="002F033A" w:rsidRDefault="002F033A" w:rsidP="005E2AD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lastRenderedPageBreak/>
              <w:t>查干诺尔乡</w:t>
            </w:r>
            <w:r>
              <w:rPr>
                <w:rStyle w:val="font11"/>
                <w:rFonts w:hint="default"/>
              </w:rPr>
              <w:t>财政项目支出绩效自评表</w:t>
            </w:r>
          </w:p>
        </w:tc>
      </w:tr>
      <w:tr w:rsidR="00EF1569">
        <w:trPr>
          <w:trHeight w:val="28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（</w:t>
            </w:r>
            <w:r>
              <w:rPr>
                <w:rStyle w:val="font01"/>
                <w:rFonts w:hint="default"/>
              </w:rPr>
              <w:t>2018年）</w:t>
            </w:r>
          </w:p>
        </w:tc>
      </w:tr>
      <w:tr w:rsidR="00EF1569">
        <w:trPr>
          <w:trHeight w:val="28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1569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扶贫小额信用贷款贴息资金</w:t>
            </w:r>
          </w:p>
        </w:tc>
      </w:tr>
      <w:tr w:rsidR="00EF1569">
        <w:trPr>
          <w:trHeight w:val="43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5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1569" w:rsidRDefault="005E2A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博湖县</w:t>
            </w:r>
            <w:r w:rsidR="004231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查干诺尔乡人民政府</w:t>
            </w:r>
            <w:r w:rsidR="004231CB">
              <w:rPr>
                <w:rStyle w:val="font21"/>
                <w:rFonts w:hint="default"/>
              </w:rPr>
              <w:t xml:space="preserve">　</w:t>
            </w:r>
          </w:p>
        </w:tc>
      </w:tr>
      <w:tr w:rsidR="00C92F89" w:rsidTr="0077485D">
        <w:trPr>
          <w:trHeight w:val="98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</w:p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</w:t>
            </w:r>
          </w:p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  <w:p w:rsidR="00C92F89" w:rsidRDefault="00C92F89" w:rsidP="0077485D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预算数：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Style w:val="font21"/>
                <w:rFonts w:hint="default"/>
              </w:rPr>
              <w:t>7.6万元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执行数：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7.6万元</w:t>
            </w:r>
          </w:p>
        </w:tc>
      </w:tr>
      <w:tr w:rsidR="00C92F89" w:rsidTr="0077485D">
        <w:trPr>
          <w:trHeight w:val="433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F89" w:rsidRDefault="00C92F89" w:rsidP="0077485D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7.6万元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 w:rsidP="005E2ADA">
            <w:pPr>
              <w:widowControl/>
              <w:ind w:right="30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7.6万元</w:t>
            </w:r>
            <w:r>
              <w:rPr>
                <w:rStyle w:val="font21"/>
                <w:rFonts w:hint="default"/>
              </w:rPr>
              <w:t xml:space="preserve">　</w:t>
            </w:r>
          </w:p>
        </w:tc>
      </w:tr>
      <w:tr w:rsidR="00C92F89" w:rsidTr="0077485D">
        <w:trPr>
          <w:trHeight w:val="450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2F89" w:rsidTr="005B25F0">
        <w:trPr>
          <w:trHeight w:val="775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</w:p>
          <w:p w:rsidR="00C92F89" w:rsidRDefault="00C92F89" w:rsidP="005B25F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实际完成目标</w:t>
            </w:r>
          </w:p>
        </w:tc>
      </w:tr>
      <w:tr w:rsidR="00C92F89" w:rsidTr="005B25F0">
        <w:trPr>
          <w:trHeight w:val="463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F89" w:rsidRDefault="00C92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9" w:rsidRDefault="00BE6802" w:rsidP="00BE6802">
            <w:pPr>
              <w:spacing w:line="540" w:lineRule="exact"/>
              <w:ind w:firstLineChars="181" w:firstLine="362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6802">
              <w:rPr>
                <w:rFonts w:ascii="宋体" w:hAnsi="宋体" w:cs="宋体" w:hint="eastAsia"/>
                <w:kern w:val="0"/>
                <w:sz w:val="20"/>
                <w:szCs w:val="20"/>
              </w:rPr>
              <w:t>该项目为小额信贷补贴有效地帮助低收入贫困户实现增收目标，更好得让37户贫困户如期脱贫。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02" w:rsidRPr="00BE6802" w:rsidRDefault="00BE6802" w:rsidP="00BE6802">
            <w:pPr>
              <w:spacing w:line="540" w:lineRule="exact"/>
              <w:ind w:firstLineChars="200" w:firstLine="384"/>
              <w:rPr>
                <w:rStyle w:val="a8"/>
                <w:rFonts w:ascii="仿宋" w:eastAsia="仿宋" w:hAnsi="仿宋"/>
                <w:b w:val="0"/>
                <w:spacing w:val="-4"/>
                <w:sz w:val="20"/>
                <w:szCs w:val="20"/>
              </w:rPr>
            </w:pPr>
            <w:r w:rsidRPr="00BE6802">
              <w:rPr>
                <w:rStyle w:val="a8"/>
                <w:rFonts w:ascii="方正仿宋_GBK" w:eastAsia="方正仿宋_GBK" w:hAnsi="方正仿宋_GBK" w:cs="方正仿宋_GBK" w:hint="eastAsia"/>
                <w:b w:val="0"/>
                <w:spacing w:val="-4"/>
                <w:sz w:val="20"/>
                <w:szCs w:val="20"/>
              </w:rPr>
              <w:t>县级配套资金总投入7.6万元，2018年已全部用于小额信贷补贴补贴, 已全部</w:t>
            </w:r>
            <w:r>
              <w:rPr>
                <w:rStyle w:val="a8"/>
                <w:rFonts w:ascii="方正仿宋_GBK" w:eastAsia="方正仿宋_GBK" w:hAnsi="方正仿宋_GBK" w:cs="方正仿宋_GBK" w:hint="eastAsia"/>
                <w:b w:val="0"/>
                <w:spacing w:val="-4"/>
                <w:sz w:val="20"/>
                <w:szCs w:val="20"/>
              </w:rPr>
              <w:t>补贴</w:t>
            </w:r>
            <w:r w:rsidRPr="00BE6802">
              <w:rPr>
                <w:rStyle w:val="a8"/>
                <w:rFonts w:ascii="方正仿宋_GBK" w:eastAsia="方正仿宋_GBK" w:hAnsi="方正仿宋_GBK" w:cs="方正仿宋_GBK" w:hint="eastAsia"/>
                <w:b w:val="0"/>
                <w:spacing w:val="-4"/>
                <w:sz w:val="20"/>
                <w:szCs w:val="20"/>
              </w:rPr>
              <w:t>到位，到位率100%。</w:t>
            </w:r>
          </w:p>
          <w:p w:rsidR="00C92F89" w:rsidRDefault="00C92F89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569" w:rsidTr="002F033A">
        <w:trPr>
          <w:trHeight w:val="48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户数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37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7.6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补助覆盖率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开始时间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2018年11月1日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2018年11月1日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补助资金下拨时间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2018年12月31日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2018年12月31日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补助金发放率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项目效果指标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年人均收益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1000-2000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1000-2000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EF15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经济收入增长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直接受益农户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  <w:tr w:rsidR="00EF1569" w:rsidTr="002F033A">
        <w:trPr>
          <w:trHeight w:val="48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EF156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69" w:rsidRDefault="004231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4231CB" w:rsidP="002F033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69" w:rsidRDefault="002F033A" w:rsidP="002F03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100%</w:t>
            </w:r>
          </w:p>
        </w:tc>
      </w:tr>
    </w:tbl>
    <w:p w:rsidR="00EF1569" w:rsidRDefault="00EF1569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sectPr w:rsidR="00EF1569" w:rsidSect="00EF1569">
      <w:footerReference w:type="default" r:id="rId7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A8" w:rsidRDefault="00240CA8" w:rsidP="00EF1569">
      <w:r>
        <w:separator/>
      </w:r>
    </w:p>
  </w:endnote>
  <w:endnote w:type="continuationSeparator" w:id="0">
    <w:p w:rsidR="00240CA8" w:rsidRDefault="00240CA8" w:rsidP="00EF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69" w:rsidRDefault="007A44F5">
    <w:pPr>
      <w:pStyle w:val="a4"/>
      <w:jc w:val="center"/>
    </w:pPr>
    <w:r>
      <w:fldChar w:fldCharType="begin"/>
    </w:r>
    <w:r w:rsidR="004231CB">
      <w:instrText>PAGE   \* MERGEFORMAT</w:instrText>
    </w:r>
    <w:r>
      <w:fldChar w:fldCharType="separate"/>
    </w:r>
    <w:r w:rsidR="005E2ADA" w:rsidRPr="005E2ADA">
      <w:rPr>
        <w:noProof/>
        <w:lang w:val="zh-CN"/>
      </w:rPr>
      <w:t>5</w:t>
    </w:r>
    <w:r>
      <w:fldChar w:fldCharType="end"/>
    </w:r>
  </w:p>
  <w:p w:rsidR="00EF1569" w:rsidRDefault="00EF15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A8" w:rsidRDefault="00240CA8" w:rsidP="00EF1569">
      <w:r>
        <w:separator/>
      </w:r>
    </w:p>
  </w:footnote>
  <w:footnote w:type="continuationSeparator" w:id="0">
    <w:p w:rsidR="00240CA8" w:rsidRDefault="00240CA8" w:rsidP="00EF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69"/>
    <w:rsid w:val="00240CA8"/>
    <w:rsid w:val="002F033A"/>
    <w:rsid w:val="0030510D"/>
    <w:rsid w:val="004231CB"/>
    <w:rsid w:val="004A7FE9"/>
    <w:rsid w:val="0053733F"/>
    <w:rsid w:val="005E2ADA"/>
    <w:rsid w:val="007A44F5"/>
    <w:rsid w:val="007C28B7"/>
    <w:rsid w:val="009766EA"/>
    <w:rsid w:val="00B5582E"/>
    <w:rsid w:val="00BE6802"/>
    <w:rsid w:val="00C92F89"/>
    <w:rsid w:val="00EF1569"/>
    <w:rsid w:val="00F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56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156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156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156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156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156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156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156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156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15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EF156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EF156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8">
    <w:name w:val="Strong"/>
    <w:basedOn w:val="a0"/>
    <w:qFormat/>
    <w:rsid w:val="00EF1569"/>
    <w:rPr>
      <w:b/>
      <w:bCs/>
    </w:rPr>
  </w:style>
  <w:style w:type="character" w:styleId="a9">
    <w:name w:val="Emphasis"/>
    <w:basedOn w:val="a0"/>
    <w:uiPriority w:val="20"/>
    <w:qFormat/>
    <w:rsid w:val="00EF1569"/>
    <w:rPr>
      <w:rFonts w:ascii="Calibri" w:hAnsi="Calibri"/>
      <w:b/>
      <w:i/>
      <w:iCs/>
    </w:rPr>
  </w:style>
  <w:style w:type="paragraph" w:customStyle="1" w:styleId="10">
    <w:name w:val="无间隔1"/>
    <w:basedOn w:val="a"/>
    <w:uiPriority w:val="1"/>
    <w:qFormat/>
    <w:rsid w:val="00EF1569"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11">
    <w:name w:val="列出段落1"/>
    <w:basedOn w:val="a"/>
    <w:uiPriority w:val="34"/>
    <w:qFormat/>
    <w:rsid w:val="00EF156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rsid w:val="00EF1569"/>
    <w:pPr>
      <w:widowControl/>
      <w:jc w:val="left"/>
    </w:pPr>
    <w:rPr>
      <w:rFonts w:ascii="Calibri" w:hAnsi="Calibri"/>
      <w:i/>
      <w:kern w:val="0"/>
      <w:sz w:val="24"/>
    </w:rPr>
  </w:style>
  <w:style w:type="paragraph" w:customStyle="1" w:styleId="13">
    <w:name w:val="明显引用1"/>
    <w:basedOn w:val="a"/>
    <w:next w:val="a"/>
    <w:link w:val="Char5"/>
    <w:uiPriority w:val="30"/>
    <w:qFormat/>
    <w:rsid w:val="00EF156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EF1569"/>
    <w:pPr>
      <w:outlineLvl w:val="9"/>
    </w:pPr>
    <w:rPr>
      <w:lang w:eastAsia="en-US" w:bidi="en-US"/>
    </w:rPr>
  </w:style>
  <w:style w:type="character" w:customStyle="1" w:styleId="1Char">
    <w:name w:val="标题 1 Char"/>
    <w:basedOn w:val="a0"/>
    <w:link w:val="1"/>
    <w:uiPriority w:val="9"/>
    <w:qFormat/>
    <w:rsid w:val="00EF156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EF1569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EF1569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EF156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EF156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EF156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EF156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EF156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EF1569"/>
    <w:rPr>
      <w:rFonts w:ascii="Cambria" w:eastAsia="宋体" w:hAnsi="Cambria"/>
    </w:rPr>
  </w:style>
  <w:style w:type="character" w:customStyle="1" w:styleId="Char3">
    <w:name w:val="标题 Char"/>
    <w:basedOn w:val="a0"/>
    <w:link w:val="a7"/>
    <w:uiPriority w:val="10"/>
    <w:rsid w:val="00EF1569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EF1569"/>
    <w:rPr>
      <w:rFonts w:ascii="Cambria" w:eastAsia="宋体" w:hAnsi="Cambria"/>
      <w:sz w:val="24"/>
      <w:szCs w:val="24"/>
    </w:rPr>
  </w:style>
  <w:style w:type="character" w:customStyle="1" w:styleId="Char4">
    <w:name w:val="引用 Char"/>
    <w:basedOn w:val="a0"/>
    <w:link w:val="12"/>
    <w:uiPriority w:val="29"/>
    <w:qFormat/>
    <w:rsid w:val="00EF1569"/>
    <w:rPr>
      <w:i/>
      <w:sz w:val="24"/>
      <w:szCs w:val="24"/>
    </w:rPr>
  </w:style>
  <w:style w:type="character" w:customStyle="1" w:styleId="Char5">
    <w:name w:val="明显引用 Char"/>
    <w:basedOn w:val="a0"/>
    <w:link w:val="13"/>
    <w:uiPriority w:val="30"/>
    <w:qFormat/>
    <w:rsid w:val="00EF1569"/>
    <w:rPr>
      <w:b/>
      <w:i/>
      <w:sz w:val="24"/>
    </w:rPr>
  </w:style>
  <w:style w:type="character" w:customStyle="1" w:styleId="14">
    <w:name w:val="不明显强调1"/>
    <w:uiPriority w:val="19"/>
    <w:qFormat/>
    <w:rsid w:val="00EF1569"/>
    <w:rPr>
      <w:i/>
      <w:color w:val="565656"/>
    </w:rPr>
  </w:style>
  <w:style w:type="character" w:customStyle="1" w:styleId="15">
    <w:name w:val="明显强调1"/>
    <w:basedOn w:val="a0"/>
    <w:uiPriority w:val="21"/>
    <w:qFormat/>
    <w:rsid w:val="00EF1569"/>
    <w:rPr>
      <w:b/>
      <w:i/>
      <w:sz w:val="24"/>
      <w:szCs w:val="24"/>
      <w:u w:val="single"/>
    </w:rPr>
  </w:style>
  <w:style w:type="character" w:customStyle="1" w:styleId="16">
    <w:name w:val="不明显参考1"/>
    <w:basedOn w:val="a0"/>
    <w:uiPriority w:val="31"/>
    <w:qFormat/>
    <w:rsid w:val="00EF1569"/>
    <w:rPr>
      <w:sz w:val="24"/>
      <w:szCs w:val="24"/>
      <w:u w:val="single"/>
    </w:rPr>
  </w:style>
  <w:style w:type="character" w:customStyle="1" w:styleId="17">
    <w:name w:val="明显参考1"/>
    <w:basedOn w:val="a0"/>
    <w:uiPriority w:val="32"/>
    <w:qFormat/>
    <w:rsid w:val="00EF1569"/>
    <w:rPr>
      <w:b/>
      <w:sz w:val="24"/>
      <w:u w:val="single"/>
    </w:rPr>
  </w:style>
  <w:style w:type="character" w:customStyle="1" w:styleId="18">
    <w:name w:val="书籍标题1"/>
    <w:basedOn w:val="a0"/>
    <w:uiPriority w:val="33"/>
    <w:qFormat/>
    <w:rsid w:val="00EF1569"/>
    <w:rPr>
      <w:rFonts w:ascii="Cambria" w:eastAsia="宋体" w:hAnsi="Cambria"/>
      <w:b/>
      <w:i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EF1569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569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1569"/>
    <w:rPr>
      <w:rFonts w:ascii="Times New Roman" w:eastAsia="宋体" w:hAnsi="Times New Roman"/>
      <w:kern w:val="2"/>
      <w:sz w:val="18"/>
      <w:szCs w:val="18"/>
    </w:rPr>
  </w:style>
  <w:style w:type="character" w:customStyle="1" w:styleId="font11">
    <w:name w:val="font11"/>
    <w:basedOn w:val="a0"/>
    <w:rsid w:val="00EF1569"/>
    <w:rPr>
      <w:rFonts w:ascii="宋体" w:eastAsia="宋体" w:hAnsi="宋体" w:cs="宋体" w:hint="eastAsia"/>
      <w:b/>
      <w:color w:val="000000"/>
      <w:sz w:val="32"/>
      <w:szCs w:val="32"/>
    </w:rPr>
  </w:style>
  <w:style w:type="character" w:customStyle="1" w:styleId="font01">
    <w:name w:val="font01"/>
    <w:basedOn w:val="a0"/>
    <w:rsid w:val="00EF1569"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font21">
    <w:name w:val="font21"/>
    <w:basedOn w:val="a0"/>
    <w:rsid w:val="00EF1569"/>
    <w:rPr>
      <w:rFonts w:ascii="宋体" w:eastAsia="宋体" w:hAnsi="宋体" w:cs="宋体" w:hint="eastAsi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博湖县查干诺尔乡财政项目支出绩效自评报告</dc:title>
  <dc:creator>赵 恺（预算处）</dc:creator>
  <cp:lastModifiedBy>china</cp:lastModifiedBy>
  <cp:revision>7</cp:revision>
  <cp:lastPrinted>2018-12-31T10:56:00Z</cp:lastPrinted>
  <dcterms:created xsi:type="dcterms:W3CDTF">2018-08-15T02:06:00Z</dcterms:created>
  <dcterms:modified xsi:type="dcterms:W3CDTF">2019-10-28T13:06:00Z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