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博湖县总工会2024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4E6DE08">
      <w:r>
        <w:br w:type="page"/>
      </w:r>
    </w:p>
    <w:p w14:paraId="649DD6AE">
      <w:pPr>
        <w:spacing w:line="640" w:lineRule="exact"/>
        <w:jc w:val="center"/>
        <w:outlineLvl w:val="1"/>
      </w:pPr>
      <w:r>
        <w:rPr>
          <w:rFonts w:ascii="黑体" w:hAnsi="黑体" w:eastAsia="黑体"/>
          <w:sz w:val="32"/>
        </w:rPr>
        <w:t>第一部分 部门概况</w:t>
      </w:r>
    </w:p>
    <w:p w14:paraId="347B1602">
      <w:pPr>
        <w:spacing w:line="640" w:lineRule="exact"/>
        <w:ind w:firstLine="640"/>
        <w:jc w:val="both"/>
        <w:outlineLvl w:val="2"/>
      </w:pPr>
      <w:r>
        <w:rPr>
          <w:rFonts w:ascii="黑体" w:hAnsi="黑体" w:eastAsia="黑体"/>
          <w:sz w:val="32"/>
        </w:rPr>
        <w:t>一、主要职能</w:t>
      </w:r>
    </w:p>
    <w:p w14:paraId="5787E657">
      <w:pPr>
        <w:spacing w:line="580" w:lineRule="exact"/>
        <w:ind w:firstLine="640"/>
        <w:jc w:val="both"/>
      </w:pPr>
      <w:r>
        <w:rPr>
          <w:rFonts w:ascii="仿宋_GB2312" w:hAnsi="仿宋_GB2312" w:eastAsia="仿宋_GB2312"/>
          <w:sz w:val="32"/>
        </w:rPr>
        <w:t>（1）根据党的路线、方针、政策，以及县委的工作部署和要求，确定县总工会工作的指导思想，组织指导全县工运理论的研究。</w:t>
      </w:r>
    </w:p>
    <w:p w14:paraId="7AD3C0F9">
      <w:pPr>
        <w:spacing w:line="580" w:lineRule="exact"/>
        <w:ind w:firstLine="640"/>
        <w:jc w:val="both"/>
      </w:pPr>
      <w:r>
        <w:rPr>
          <w:rFonts w:ascii="仿宋_GB2312" w:hAnsi="仿宋_GB2312" w:eastAsia="仿宋_GB2312"/>
          <w:sz w:val="32"/>
        </w:rPr>
        <w:t>（2）依照法律和章程，组织和指导全县各级工会履行“维护、建设、参与、教育”</w:t>
      </w:r>
      <w:r>
        <w:rPr>
          <w:rFonts w:hint="eastAsia" w:ascii="仿宋_GB2312" w:hAnsi="仿宋_GB2312" w:eastAsia="仿宋_GB2312"/>
          <w:sz w:val="32"/>
          <w:lang w:eastAsia="zh-CN"/>
        </w:rPr>
        <w:t>等各</w:t>
      </w:r>
      <w:r>
        <w:rPr>
          <w:rFonts w:ascii="仿宋_GB2312" w:hAnsi="仿宋_GB2312" w:eastAsia="仿宋_GB2312"/>
          <w:sz w:val="32"/>
        </w:rPr>
        <w:t>项社会职能，贯彻执行县委和上级工会的决定，开展工会各项业务的工作，与有关方面协商解决工会工作的有关问题。</w:t>
      </w:r>
    </w:p>
    <w:p w14:paraId="5FF2E276">
      <w:pPr>
        <w:spacing w:line="580" w:lineRule="exact"/>
        <w:ind w:firstLine="640"/>
        <w:jc w:val="both"/>
      </w:pPr>
      <w:r>
        <w:rPr>
          <w:rFonts w:ascii="仿宋_GB2312" w:hAnsi="仿宋_GB2312" w:eastAsia="仿宋_GB2312"/>
          <w:sz w:val="32"/>
        </w:rPr>
        <w:t>（3）对有关职工利益的重大问题进行调查研究，向县委、县政府反映职工群众的愿望和要求，并提出意见和建议，参与涉及职工切身利益的有关措施和制度的修改、制定工作。</w:t>
      </w:r>
    </w:p>
    <w:p w14:paraId="6FF3A50E">
      <w:pPr>
        <w:spacing w:line="580" w:lineRule="exact"/>
        <w:ind w:firstLine="640"/>
        <w:jc w:val="both"/>
      </w:pPr>
      <w:r>
        <w:rPr>
          <w:rFonts w:ascii="仿宋_GB2312" w:hAnsi="仿宋_GB2312" w:eastAsia="仿宋_GB2312"/>
          <w:sz w:val="32"/>
        </w:rPr>
        <w:t>（4）指导各级工会自身建设和改革，协助有关部门监督检查《中华人民共和国劳动法》的贯彻执行情况，监督检查《</w:t>
      </w:r>
      <w:r>
        <w:rPr>
          <w:rFonts w:hint="eastAsia" w:ascii="仿宋_GB2312" w:hAnsi="仿宋_GB2312" w:eastAsia="仿宋_GB2312"/>
          <w:sz w:val="32"/>
          <w:lang w:eastAsia="zh-CN"/>
        </w:rPr>
        <w:t>中华人民共和国工会法</w:t>
      </w:r>
      <w:r>
        <w:rPr>
          <w:rFonts w:ascii="仿宋_GB2312" w:hAnsi="仿宋_GB2312" w:eastAsia="仿宋_GB2312"/>
          <w:sz w:val="32"/>
        </w:rPr>
        <w:t>》《中国工会章程》的贯彻执行情况，研究制定工会的各项组织制度和民主制度。</w:t>
      </w:r>
    </w:p>
    <w:p w14:paraId="37810E75">
      <w:pPr>
        <w:spacing w:line="580" w:lineRule="exact"/>
        <w:ind w:firstLine="640"/>
        <w:jc w:val="both"/>
      </w:pPr>
      <w:r>
        <w:rPr>
          <w:rFonts w:ascii="仿宋_GB2312" w:hAnsi="仿宋_GB2312" w:eastAsia="仿宋_GB2312"/>
          <w:sz w:val="32"/>
        </w:rPr>
        <w:t>（5）负责工会经费的收缴、上解工作。</w:t>
      </w:r>
    </w:p>
    <w:p w14:paraId="21E2B0E1">
      <w:pPr>
        <w:spacing w:line="580" w:lineRule="exact"/>
        <w:ind w:firstLine="640"/>
        <w:jc w:val="both"/>
      </w:pPr>
      <w:r>
        <w:rPr>
          <w:rFonts w:ascii="仿宋_GB2312" w:hAnsi="仿宋_GB2312" w:eastAsia="仿宋_GB2312"/>
          <w:sz w:val="32"/>
        </w:rPr>
        <w:t>（6）参与劳动争议调解、劳动争议仲裁工作。</w:t>
      </w:r>
    </w:p>
    <w:p w14:paraId="5DFE176A">
      <w:pPr>
        <w:spacing w:line="580" w:lineRule="exact"/>
        <w:ind w:firstLine="640"/>
        <w:jc w:val="both"/>
      </w:pPr>
      <w:r>
        <w:rPr>
          <w:rFonts w:ascii="仿宋_GB2312" w:hAnsi="仿宋_GB2312" w:eastAsia="仿宋_GB2312"/>
          <w:sz w:val="32"/>
        </w:rPr>
        <w:t>（7）负责协调全县各单位、各系统工会的工作。</w:t>
      </w:r>
    </w:p>
    <w:p w14:paraId="3B118560">
      <w:pPr>
        <w:spacing w:line="580" w:lineRule="exact"/>
        <w:ind w:firstLine="640"/>
        <w:jc w:val="both"/>
      </w:pPr>
      <w:r>
        <w:rPr>
          <w:rFonts w:ascii="仿宋_GB2312" w:hAnsi="仿宋_GB2312" w:eastAsia="仿宋_GB2312"/>
          <w:sz w:val="32"/>
        </w:rPr>
        <w:t>（8）负责全县女职工工作和女职工特殊权益保护工作。</w:t>
      </w:r>
    </w:p>
    <w:p w14:paraId="11B370CD">
      <w:pPr>
        <w:spacing w:line="640" w:lineRule="exact"/>
        <w:ind w:firstLine="640"/>
        <w:jc w:val="both"/>
        <w:outlineLvl w:val="2"/>
      </w:pPr>
      <w:r>
        <w:rPr>
          <w:rFonts w:ascii="黑体" w:hAnsi="黑体" w:eastAsia="黑体"/>
          <w:sz w:val="32"/>
        </w:rPr>
        <w:t>二、机构设置及人员情况</w:t>
      </w:r>
    </w:p>
    <w:p w14:paraId="4ED72360">
      <w:pPr>
        <w:spacing w:line="580" w:lineRule="exact"/>
        <w:ind w:firstLine="640"/>
        <w:jc w:val="both"/>
      </w:pPr>
      <w:r>
        <w:rPr>
          <w:rFonts w:ascii="仿宋_GB2312" w:hAnsi="仿宋_GB2312" w:eastAsia="仿宋_GB2312"/>
          <w:sz w:val="32"/>
        </w:rPr>
        <w:t>博湖县总工会2024年度，实有人数14人，其中：在职人员3人，增加1人；离休人员0人，增加0人；退休人员11人,增加0人。</w:t>
      </w:r>
    </w:p>
    <w:p w14:paraId="7A4B72C6">
      <w:pPr>
        <w:spacing w:line="580" w:lineRule="exact"/>
        <w:ind w:firstLine="640"/>
        <w:jc w:val="both"/>
      </w:pPr>
      <w:r>
        <w:rPr>
          <w:rFonts w:ascii="仿宋_GB2312" w:hAnsi="仿宋_GB2312" w:eastAsia="仿宋_GB2312"/>
          <w:sz w:val="32"/>
        </w:rPr>
        <w:t>博湖县总工会无下属预算单位，下设2个科室，分别是：办公室、财务室。</w:t>
      </w:r>
    </w:p>
    <w:p w14:paraId="504463B8">
      <w:r>
        <w:br w:type="page"/>
      </w:r>
    </w:p>
    <w:p w14:paraId="6266A460">
      <w:pPr>
        <w:spacing w:line="240" w:lineRule="auto"/>
        <w:jc w:val="center"/>
        <w:outlineLvl w:val="1"/>
      </w:pPr>
      <w:r>
        <w:rPr>
          <w:rFonts w:ascii="黑体" w:hAnsi="黑体" w:eastAsia="黑体"/>
          <w:sz w:val="32"/>
        </w:rPr>
        <w:t>第二部分 部门决算情况说明</w:t>
      </w:r>
    </w:p>
    <w:p w14:paraId="1D0A2EDE">
      <w:pPr>
        <w:spacing w:line="640" w:lineRule="exact"/>
        <w:ind w:firstLine="640"/>
        <w:jc w:val="both"/>
        <w:outlineLvl w:val="2"/>
      </w:pPr>
      <w:r>
        <w:rPr>
          <w:rFonts w:ascii="黑体" w:hAnsi="黑体" w:eastAsia="黑体"/>
          <w:sz w:val="32"/>
        </w:rPr>
        <w:t>一、收入支出决算总体情况说明</w:t>
      </w:r>
    </w:p>
    <w:p w14:paraId="3871872D">
      <w:pPr>
        <w:spacing w:line="580" w:lineRule="exact"/>
        <w:ind w:firstLine="640"/>
        <w:jc w:val="both"/>
      </w:pPr>
      <w:r>
        <w:rPr>
          <w:rFonts w:ascii="仿宋_GB2312" w:hAnsi="仿宋_GB2312" w:eastAsia="仿宋_GB2312"/>
          <w:b/>
          <w:sz w:val="32"/>
        </w:rPr>
        <w:t>2024年度收入总计59.55万元，</w:t>
      </w:r>
      <w:r>
        <w:rPr>
          <w:rFonts w:ascii="仿宋_GB2312" w:hAnsi="仿宋_GB2312" w:eastAsia="仿宋_GB2312"/>
          <w:b w:val="0"/>
          <w:sz w:val="32"/>
        </w:rPr>
        <w:t>其中：本年收入合计59.55万元，使用非财政拨款结余（含专用结余）0.00万元，年初结转和结余0.00万元。</w:t>
      </w:r>
    </w:p>
    <w:p w14:paraId="5483A34F">
      <w:pPr>
        <w:spacing w:line="580" w:lineRule="exact"/>
        <w:ind w:firstLine="640"/>
        <w:jc w:val="both"/>
      </w:pPr>
      <w:r>
        <w:rPr>
          <w:rFonts w:ascii="仿宋_GB2312" w:hAnsi="仿宋_GB2312" w:eastAsia="仿宋_GB2312"/>
          <w:b/>
          <w:sz w:val="32"/>
        </w:rPr>
        <w:t>2024年度支出总计59.55万元，</w:t>
      </w:r>
      <w:r>
        <w:rPr>
          <w:rFonts w:ascii="仿宋_GB2312" w:hAnsi="仿宋_GB2312" w:eastAsia="仿宋_GB2312"/>
          <w:b w:val="0"/>
          <w:sz w:val="32"/>
        </w:rPr>
        <w:t>其中：本年支出合计59.55万元，结余分配0.00万元，年末结转和结余0.00万元。</w:t>
      </w:r>
    </w:p>
    <w:p w14:paraId="2AA35041">
      <w:pPr>
        <w:spacing w:line="580" w:lineRule="exact"/>
        <w:ind w:firstLine="640"/>
        <w:jc w:val="both"/>
      </w:pPr>
      <w:r>
        <w:rPr>
          <w:rFonts w:ascii="仿宋_GB2312" w:hAnsi="仿宋_GB2312" w:eastAsia="仿宋_GB2312"/>
          <w:b w:val="0"/>
          <w:sz w:val="32"/>
        </w:rPr>
        <w:t>收入支出总体与上年相比，增加1.97万元，增长3.42%，主要原因是：本年在职人员增加，在职人员工资调增、社保、公积金基数调增，人员经费增加。</w:t>
      </w:r>
    </w:p>
    <w:p w14:paraId="585ABDF1">
      <w:pPr>
        <w:spacing w:line="640" w:lineRule="exact"/>
        <w:ind w:firstLine="640"/>
        <w:jc w:val="both"/>
        <w:outlineLvl w:val="2"/>
      </w:pPr>
      <w:r>
        <w:rPr>
          <w:rFonts w:ascii="黑体" w:hAnsi="黑体" w:eastAsia="黑体"/>
          <w:sz w:val="32"/>
        </w:rPr>
        <w:t>二、收入决算情况说明</w:t>
      </w:r>
    </w:p>
    <w:p w14:paraId="0AEE3D83">
      <w:pPr>
        <w:spacing w:line="580" w:lineRule="exact"/>
        <w:ind w:firstLine="640"/>
        <w:jc w:val="both"/>
      </w:pPr>
      <w:r>
        <w:rPr>
          <w:rFonts w:ascii="仿宋_GB2312" w:hAnsi="仿宋_GB2312" w:eastAsia="仿宋_GB2312"/>
          <w:b/>
          <w:sz w:val="32"/>
        </w:rPr>
        <w:t>本年收入59.55万元，</w:t>
      </w:r>
      <w:r>
        <w:rPr>
          <w:rFonts w:ascii="仿宋_GB2312" w:hAnsi="仿宋_GB2312" w:eastAsia="仿宋_GB2312"/>
          <w:b w:val="0"/>
          <w:sz w:val="32"/>
        </w:rPr>
        <w:t>其中：财政拨款收入59.55万元，占100.00%；上级补助收入0.00万元，占0.00%；事业收入0.00万元，占0.00%；经营收入0.00万元，占0.00%；附属单位上缴收入0.00万元，占0.00%；其他收入0.00万元，占0.00%。</w:t>
      </w:r>
    </w:p>
    <w:p w14:paraId="17A262EC">
      <w:pPr>
        <w:spacing w:line="640" w:lineRule="exact"/>
        <w:ind w:firstLine="640"/>
        <w:jc w:val="both"/>
        <w:outlineLvl w:val="2"/>
      </w:pPr>
      <w:r>
        <w:rPr>
          <w:rFonts w:ascii="黑体" w:hAnsi="黑体" w:eastAsia="黑体"/>
          <w:sz w:val="32"/>
        </w:rPr>
        <w:t>三、支出决算情况说明</w:t>
      </w:r>
    </w:p>
    <w:p w14:paraId="0BCA48C5">
      <w:pPr>
        <w:spacing w:line="580" w:lineRule="exact"/>
        <w:ind w:firstLine="640"/>
        <w:jc w:val="both"/>
      </w:pPr>
      <w:r>
        <w:rPr>
          <w:rFonts w:ascii="仿宋_GB2312" w:hAnsi="仿宋_GB2312" w:eastAsia="仿宋_GB2312"/>
          <w:b/>
          <w:sz w:val="32"/>
        </w:rPr>
        <w:t>本年支出59.55万元，</w:t>
      </w:r>
      <w:r>
        <w:rPr>
          <w:rFonts w:ascii="仿宋_GB2312" w:hAnsi="仿宋_GB2312" w:eastAsia="仿宋_GB2312"/>
          <w:b w:val="0"/>
          <w:sz w:val="32"/>
        </w:rPr>
        <w:t>其中：基本支出59.02万元，占99.11%；项目支出0.53万元，占0.89%；上缴上级支出0.00万元，占0.00%；经营支出0.00万元，占0.00%；对附属单位补助支出0.00万元，占0.00%。</w:t>
      </w:r>
    </w:p>
    <w:p w14:paraId="5FEF0014">
      <w:pPr>
        <w:spacing w:line="640" w:lineRule="exact"/>
        <w:ind w:firstLine="640"/>
        <w:jc w:val="both"/>
        <w:outlineLvl w:val="2"/>
      </w:pPr>
      <w:r>
        <w:rPr>
          <w:rFonts w:ascii="黑体" w:hAnsi="黑体" w:eastAsia="黑体"/>
          <w:sz w:val="32"/>
        </w:rPr>
        <w:t>四、财政拨款收入支出决算总体情况说明</w:t>
      </w:r>
    </w:p>
    <w:p w14:paraId="28C71451">
      <w:pPr>
        <w:spacing w:line="580" w:lineRule="exact"/>
        <w:ind w:firstLine="640"/>
        <w:jc w:val="both"/>
      </w:pPr>
      <w:r>
        <w:rPr>
          <w:rFonts w:ascii="仿宋_GB2312" w:hAnsi="仿宋_GB2312" w:eastAsia="仿宋_GB2312"/>
          <w:b/>
          <w:sz w:val="32"/>
        </w:rPr>
        <w:t>2024年度财政拨款收入总计59.55万元，</w:t>
      </w:r>
      <w:r>
        <w:rPr>
          <w:rFonts w:ascii="仿宋_GB2312" w:hAnsi="仿宋_GB2312" w:eastAsia="仿宋_GB2312"/>
          <w:b w:val="0"/>
          <w:sz w:val="32"/>
        </w:rPr>
        <w:t>其中：年初财政拨款结转和结余0.00万元，本年财政拨款收入59.55万元。</w:t>
      </w:r>
      <w:r>
        <w:rPr>
          <w:rFonts w:ascii="仿宋_GB2312" w:hAnsi="仿宋_GB2312" w:eastAsia="仿宋_GB2312"/>
          <w:b/>
          <w:sz w:val="32"/>
        </w:rPr>
        <w:t>财政拨款支出总计59.55万元，</w:t>
      </w:r>
      <w:r>
        <w:rPr>
          <w:rFonts w:ascii="仿宋_GB2312" w:hAnsi="仿宋_GB2312" w:eastAsia="仿宋_GB2312"/>
          <w:b w:val="0"/>
          <w:sz w:val="32"/>
        </w:rPr>
        <w:t>其中：年末财政拨款结转和结余0.00万元，本年财政拨款支出59.55万元。</w:t>
      </w:r>
    </w:p>
    <w:p w14:paraId="41DF6CE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增加1.97万元，增长3.42%，主要原因是：本年在职人员增加，在职人员工资调增、社保、公积金基数调增，人员经费增加。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年初预算数38.49万元，决算数59.55万元，预决算差异率54.72%，主要原因是：年中追加人员工资、社保、公积金基数调增部分资金，导致预决算存在差异。</w:t>
      </w:r>
    </w:p>
    <w:p w14:paraId="60C08295">
      <w:pPr>
        <w:spacing w:line="640" w:lineRule="exact"/>
        <w:ind w:firstLine="640"/>
        <w:jc w:val="both"/>
        <w:outlineLvl w:val="2"/>
      </w:pPr>
      <w:r>
        <w:rPr>
          <w:rFonts w:ascii="黑体" w:hAnsi="黑体" w:eastAsia="黑体"/>
          <w:sz w:val="32"/>
        </w:rPr>
        <w:t>五、一般公共预算财政拨款支出决算情况说明</w:t>
      </w:r>
    </w:p>
    <w:p w14:paraId="68CAADEE">
      <w:pPr>
        <w:spacing w:line="640" w:lineRule="exact"/>
        <w:ind w:firstLine="640"/>
        <w:jc w:val="both"/>
        <w:outlineLvl w:val="3"/>
      </w:pPr>
      <w:r>
        <w:rPr>
          <w:rFonts w:ascii="楷体_GB2312" w:hAnsi="楷体_GB2312" w:eastAsia="楷体_GB2312"/>
          <w:b/>
          <w:sz w:val="32"/>
        </w:rPr>
        <w:t>（一）一般公共预算财政拨款支出决算总体情况</w:t>
      </w:r>
    </w:p>
    <w:p w14:paraId="3A26B70B">
      <w:pPr>
        <w:spacing w:line="580" w:lineRule="exact"/>
        <w:ind w:firstLine="640"/>
        <w:jc w:val="both"/>
      </w:pPr>
      <w:r>
        <w:rPr>
          <w:rFonts w:ascii="仿宋_GB2312" w:hAnsi="仿宋_GB2312" w:eastAsia="仿宋_GB2312"/>
          <w:b/>
          <w:sz w:val="32"/>
        </w:rPr>
        <w:t>2024年度一般公共预算财政拨款支出59.55万元，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增加1.97万元，增长3.42%，主要原因是：本年在职人员增加，在职人员工资调增、社保、公积金基数调增，人员经费增加。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年初预算数38.49万元，决算数59.55万元，预决算差异率54.72%，主要原因是：年中追加人员工资、社保、公积金基数调增部分资金，导致预决算存在差异。</w:t>
      </w:r>
    </w:p>
    <w:p w14:paraId="518FFC6A">
      <w:pPr>
        <w:spacing w:line="640" w:lineRule="exact"/>
        <w:ind w:firstLine="640"/>
        <w:jc w:val="both"/>
        <w:outlineLvl w:val="3"/>
      </w:pPr>
      <w:r>
        <w:rPr>
          <w:rFonts w:ascii="楷体_GB2312" w:hAnsi="楷体_GB2312" w:eastAsia="楷体_GB2312"/>
          <w:b/>
          <w:sz w:val="32"/>
        </w:rPr>
        <w:t>（二）一般公共预算财政拨款支出决算结构情况</w:t>
      </w:r>
    </w:p>
    <w:p w14:paraId="7F87A12E">
      <w:pPr>
        <w:spacing w:line="580" w:lineRule="exact"/>
        <w:ind w:firstLine="640"/>
        <w:jc w:val="both"/>
      </w:pPr>
      <w:r>
        <w:rPr>
          <w:rFonts w:ascii="仿宋_GB2312" w:hAnsi="仿宋_GB2312" w:eastAsia="仿宋_GB2312"/>
          <w:b w:val="0"/>
          <w:sz w:val="32"/>
        </w:rPr>
        <w:t>1.一般公共服务支出(类)38.76万元,占65.09%。</w:t>
      </w:r>
    </w:p>
    <w:p w14:paraId="7C91CC73">
      <w:pPr>
        <w:spacing w:line="580" w:lineRule="exact"/>
        <w:ind w:firstLine="640"/>
        <w:jc w:val="both"/>
      </w:pPr>
      <w:r>
        <w:rPr>
          <w:rFonts w:ascii="仿宋_GB2312" w:hAnsi="仿宋_GB2312" w:eastAsia="仿宋_GB2312"/>
          <w:b w:val="0"/>
          <w:sz w:val="32"/>
        </w:rPr>
        <w:t>2.社会保障和就业支出(类)13.20万元,占22.17%。</w:t>
      </w:r>
    </w:p>
    <w:p w14:paraId="7A73F152">
      <w:pPr>
        <w:spacing w:line="580" w:lineRule="exact"/>
        <w:ind w:firstLine="640"/>
        <w:jc w:val="both"/>
      </w:pPr>
      <w:r>
        <w:rPr>
          <w:rFonts w:ascii="仿宋_GB2312" w:hAnsi="仿宋_GB2312" w:eastAsia="仿宋_GB2312"/>
          <w:b w:val="0"/>
          <w:sz w:val="32"/>
        </w:rPr>
        <w:t>3.卫生健康支出(类)3.35万元,占5.63%。</w:t>
      </w:r>
    </w:p>
    <w:p w14:paraId="758D3E56">
      <w:pPr>
        <w:spacing w:line="580" w:lineRule="exact"/>
        <w:ind w:firstLine="640"/>
        <w:jc w:val="both"/>
      </w:pPr>
      <w:r>
        <w:rPr>
          <w:rFonts w:ascii="仿宋_GB2312" w:hAnsi="仿宋_GB2312" w:eastAsia="仿宋_GB2312"/>
          <w:b w:val="0"/>
          <w:sz w:val="32"/>
        </w:rPr>
        <w:t>4.住房保障支出(类)4.25万元,占7.14%。</w:t>
      </w:r>
    </w:p>
    <w:p w14:paraId="2B0FA56C">
      <w:pPr>
        <w:spacing w:line="640" w:lineRule="exact"/>
        <w:ind w:firstLine="640"/>
        <w:jc w:val="both"/>
        <w:outlineLvl w:val="3"/>
      </w:pPr>
      <w:r>
        <w:rPr>
          <w:rFonts w:ascii="楷体_GB2312" w:hAnsi="楷体_GB2312" w:eastAsia="楷体_GB2312"/>
          <w:b/>
          <w:sz w:val="32"/>
        </w:rPr>
        <w:t>（三）一般公共预算财政拨款支出决算具体情况</w:t>
      </w:r>
    </w:p>
    <w:p w14:paraId="3945C15F">
      <w:pPr>
        <w:spacing w:line="580" w:lineRule="exact"/>
        <w:ind w:firstLine="640"/>
        <w:jc w:val="both"/>
      </w:pPr>
      <w:r>
        <w:rPr>
          <w:rFonts w:ascii="仿宋_GB2312" w:hAnsi="仿宋_GB2312" w:eastAsia="仿宋_GB2312"/>
          <w:b w:val="0"/>
          <w:sz w:val="32"/>
        </w:rPr>
        <w:t>1.一般公共服务支出(类)群众团体事务(款)行政运行(项):支出决算数为38.23万元，比上年决算增加0.85万元，增长2.27%,主要原因是：本年新增在职人员，人员经费增加，导致经费较上年有所增加。</w:t>
      </w:r>
    </w:p>
    <w:p w14:paraId="362F1083">
      <w:pPr>
        <w:spacing w:line="580" w:lineRule="exact"/>
        <w:ind w:firstLine="640"/>
        <w:jc w:val="both"/>
      </w:pPr>
      <w:r>
        <w:rPr>
          <w:rFonts w:ascii="仿宋_GB2312" w:hAnsi="仿宋_GB2312" w:eastAsia="仿宋_GB2312"/>
          <w:b w:val="0"/>
          <w:sz w:val="32"/>
        </w:rPr>
        <w:t>2.一般公共服务支出(类)群众团体事务(款)其他群众团体事务支出(项):支出决算数为0.53万元，比上年决算减少0.94万元，下降63.95%,主要原因是：本年减少“五个好”党支部补助。</w:t>
      </w:r>
    </w:p>
    <w:p w14:paraId="0A4E53A3">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3.社会保障和就业支出(类)行政事业单位养老支出(款)行政单位离退休(项):支出决算数为7.96万元，比上年决算增加2.31万元，增长40.88%,主要原因是：本年增加退休人员基础绩效奖，退休费支出增加。</w:t>
      </w:r>
    </w:p>
    <w:p w14:paraId="56DD0F0B">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5.24万元，比上年决算增加0.81万元，增长18.28%,主要原因是：本年在职人员增加，养老保险缴费较上年增加。</w:t>
      </w:r>
    </w:p>
    <w:p w14:paraId="40F39D72">
      <w:pPr>
        <w:spacing w:line="580" w:lineRule="exact"/>
        <w:ind w:firstLine="640"/>
        <w:jc w:val="both"/>
      </w:pPr>
      <w:r>
        <w:rPr>
          <w:rFonts w:ascii="仿宋_GB2312" w:hAnsi="仿宋_GB2312" w:eastAsia="仿宋_GB2312"/>
          <w:b w:val="0"/>
          <w:sz w:val="32"/>
        </w:rPr>
        <w:t>5.卫生健康支出(类)行政事业单位医疗(款)行政单位医疗(项):支出决算数为2.37万元，比上年决算减少0.08万元，下降3.27%,主要原因是：本年在职人员调入调出，人员职级不同，缴费基数不同，导致行政单位医疗较上年减少。</w:t>
      </w:r>
    </w:p>
    <w:p w14:paraId="0D85ED89">
      <w:pPr>
        <w:spacing w:line="580" w:lineRule="exact"/>
        <w:ind w:firstLine="640"/>
        <w:jc w:val="both"/>
      </w:pPr>
      <w:r>
        <w:rPr>
          <w:rFonts w:ascii="仿宋_GB2312" w:hAnsi="仿宋_GB2312" w:eastAsia="仿宋_GB2312"/>
          <w:b w:val="0"/>
          <w:sz w:val="32"/>
        </w:rPr>
        <w:t>6.卫生健康支出(类)行政事业单位医疗(款)公务员医疗补助(项):支出决算数为0.98万元，比上年决算减少1.84万元，下降65.25%,主要原因是：本年在职人员调入调出，人员职级不同，缴费基数不同，导致公务员医疗补助较上年减少。</w:t>
      </w:r>
    </w:p>
    <w:p w14:paraId="4CF373F6">
      <w:pPr>
        <w:spacing w:line="580" w:lineRule="exact"/>
        <w:ind w:firstLine="640"/>
        <w:jc w:val="both"/>
      </w:pPr>
      <w:r>
        <w:rPr>
          <w:rFonts w:ascii="仿宋_GB2312" w:hAnsi="仿宋_GB2312" w:eastAsia="仿宋_GB2312"/>
          <w:b w:val="0"/>
          <w:sz w:val="32"/>
        </w:rPr>
        <w:t>7.住房保障支出(类)住房改革支出(款)住房公积金(项):支出决算数为4.25万元，比上年决算增加0.86万元，增长25.37%,主要原因是：本年在职人员增加，住房公积金支出较上年增加。</w:t>
      </w:r>
    </w:p>
    <w:p w14:paraId="4B6438F5">
      <w:pPr>
        <w:spacing w:line="640" w:lineRule="exact"/>
        <w:ind w:firstLine="640"/>
        <w:jc w:val="both"/>
        <w:outlineLvl w:val="2"/>
      </w:pPr>
      <w:r>
        <w:rPr>
          <w:rFonts w:ascii="黑体" w:hAnsi="黑体" w:eastAsia="黑体"/>
          <w:sz w:val="32"/>
        </w:rPr>
        <w:t>六、一般公共预算财政拨款基本支出决算情况说明</w:t>
      </w:r>
    </w:p>
    <w:p w14:paraId="47D21BFF">
      <w:pPr>
        <w:spacing w:line="580" w:lineRule="exact"/>
        <w:ind w:firstLine="640"/>
        <w:jc w:val="both"/>
      </w:pPr>
      <w:r>
        <w:rPr>
          <w:rFonts w:ascii="仿宋_GB2312" w:hAnsi="仿宋_GB2312" w:eastAsia="仿宋_GB2312"/>
          <w:b w:val="0"/>
          <w:sz w:val="32"/>
        </w:rPr>
        <w:t>2024年度一般公共预算财政拨款基本支出59.02万元，其中：</w:t>
      </w:r>
      <w:r>
        <w:rPr>
          <w:rFonts w:ascii="仿宋_GB2312" w:hAnsi="仿宋_GB2312" w:eastAsia="仿宋_GB2312"/>
          <w:b/>
          <w:sz w:val="32"/>
        </w:rPr>
        <w:t>人员经费57.57万元，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w:t>
      </w:r>
    </w:p>
    <w:p w14:paraId="3B79115F">
      <w:pPr>
        <w:spacing w:line="580" w:lineRule="exact"/>
        <w:ind w:firstLine="640"/>
        <w:jc w:val="both"/>
      </w:pPr>
      <w:r>
        <w:rPr>
          <w:rFonts w:ascii="仿宋_GB2312" w:hAnsi="仿宋_GB2312" w:eastAsia="仿宋_GB2312"/>
          <w:b/>
          <w:sz w:val="32"/>
        </w:rPr>
        <w:t>公用经费1.46万元，</w:t>
      </w:r>
      <w:r>
        <w:rPr>
          <w:rFonts w:ascii="仿宋_GB2312" w:hAnsi="仿宋_GB2312" w:eastAsia="仿宋_GB2312"/>
          <w:b w:val="0"/>
          <w:sz w:val="32"/>
        </w:rPr>
        <w:t>包括：办公费、邮电费、取暖费、工会经费。</w:t>
      </w:r>
    </w:p>
    <w:p w14:paraId="478361FD">
      <w:pPr>
        <w:spacing w:line="640" w:lineRule="exact"/>
        <w:ind w:firstLine="640"/>
        <w:jc w:val="both"/>
        <w:outlineLvl w:val="2"/>
      </w:pPr>
      <w:r>
        <w:rPr>
          <w:rFonts w:ascii="黑体" w:hAnsi="黑体" w:eastAsia="黑体"/>
          <w:sz w:val="32"/>
        </w:rPr>
        <w:t>七、政府性基金预算财政拨款收入支出决算情况说明</w:t>
      </w:r>
    </w:p>
    <w:p w14:paraId="17331701">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268ECDBD">
      <w:pPr>
        <w:spacing w:line="640" w:lineRule="exact"/>
        <w:ind w:firstLine="640"/>
        <w:jc w:val="both"/>
        <w:outlineLvl w:val="2"/>
      </w:pPr>
      <w:r>
        <w:rPr>
          <w:rFonts w:ascii="黑体" w:hAnsi="黑体" w:eastAsia="黑体"/>
          <w:sz w:val="32"/>
        </w:rPr>
        <w:t>八、国有资本经营预算财政拨款收入支出决算情况说明</w:t>
      </w:r>
    </w:p>
    <w:p w14:paraId="2222471A">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50726383">
      <w:pPr>
        <w:spacing w:line="640" w:lineRule="exact"/>
        <w:ind w:firstLine="640"/>
        <w:jc w:val="both"/>
        <w:outlineLvl w:val="2"/>
      </w:pPr>
      <w:r>
        <w:rPr>
          <w:rFonts w:ascii="黑体" w:hAnsi="黑体" w:eastAsia="黑体"/>
          <w:sz w:val="32"/>
        </w:rPr>
        <w:t>九、财政拨款“三公”经费支出决算情况说明</w:t>
      </w:r>
    </w:p>
    <w:p w14:paraId="11B4EA0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81FAC6B">
      <w:pPr>
        <w:spacing w:line="580" w:lineRule="exact"/>
        <w:ind w:firstLine="640"/>
        <w:jc w:val="both"/>
      </w:pPr>
      <w:r>
        <w:rPr>
          <w:rFonts w:ascii="仿宋_GB2312" w:hAnsi="仿宋_GB2312" w:eastAsia="仿宋_GB2312"/>
          <w:b/>
          <w:sz w:val="32"/>
        </w:rPr>
        <w:t>具体情况如下：</w:t>
      </w:r>
    </w:p>
    <w:p w14:paraId="420B10C7">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7FBA946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1辆，与公务用车保有量差异原因是：</w:t>
      </w:r>
      <w:r>
        <w:rPr>
          <w:rFonts w:hint="eastAsia" w:ascii="仿宋_GB2312" w:hAnsi="仿宋_GB2312" w:eastAsia="仿宋_GB2312"/>
          <w:b w:val="0"/>
          <w:sz w:val="32"/>
          <w:lang w:val="en-US" w:eastAsia="zh-CN"/>
        </w:rPr>
        <w:t>部门</w:t>
      </w:r>
      <w:r>
        <w:rPr>
          <w:rFonts w:ascii="仿宋_GB2312" w:hAnsi="仿宋_GB2312" w:eastAsia="仿宋_GB2312"/>
          <w:b w:val="0"/>
          <w:sz w:val="32"/>
        </w:rPr>
        <w:t>业务用车，车辆费用未使用财政拨款公务用车运行维护费支付，由工会经费保障。</w:t>
      </w:r>
    </w:p>
    <w:p w14:paraId="32446F17">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7F5FF6A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0.06万元，决算数0.00万元，预决算差异率-100.00%，主要原因是：严格落实中央八项规定精神，厉行节约，减少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0.06万元，决算数0.00万元，预决算差异率-100.00%，主要原因是：严格落实</w:t>
      </w:r>
      <w:bookmarkStart w:id="0" w:name="_GoBack"/>
      <w:r>
        <w:rPr>
          <w:rFonts w:ascii="仿宋_GB2312" w:hAnsi="仿宋_GB2312" w:eastAsia="仿宋_GB2312"/>
          <w:b w:val="0"/>
          <w:sz w:val="32"/>
        </w:rPr>
        <w:t>中央</w:t>
      </w:r>
      <w:bookmarkEnd w:id="0"/>
      <w:r>
        <w:rPr>
          <w:rFonts w:ascii="仿宋_GB2312" w:hAnsi="仿宋_GB2312" w:eastAsia="仿宋_GB2312"/>
          <w:b w:val="0"/>
          <w:sz w:val="32"/>
        </w:rPr>
        <w:t>八项规定精神，厉行节约，减少经费支出。公务接待费全年预算数0.00万元，决算数0.00万元，预决算差异率0.00%，主要原因是：本部门无公务接待费。</w:t>
      </w:r>
    </w:p>
    <w:p w14:paraId="5F6924F0">
      <w:pPr>
        <w:spacing w:line="640" w:lineRule="exact"/>
        <w:ind w:firstLine="640"/>
        <w:jc w:val="both"/>
        <w:outlineLvl w:val="2"/>
      </w:pPr>
      <w:r>
        <w:rPr>
          <w:rFonts w:ascii="黑体" w:hAnsi="黑体" w:eastAsia="黑体"/>
          <w:sz w:val="32"/>
        </w:rPr>
        <w:t>十、其他重要事项的情况说明</w:t>
      </w:r>
    </w:p>
    <w:p w14:paraId="397600B6">
      <w:pPr>
        <w:spacing w:line="640" w:lineRule="exact"/>
        <w:ind w:firstLine="640"/>
        <w:jc w:val="both"/>
        <w:outlineLvl w:val="3"/>
      </w:pPr>
      <w:r>
        <w:rPr>
          <w:rFonts w:ascii="楷体_GB2312" w:hAnsi="楷体_GB2312" w:eastAsia="楷体_GB2312"/>
          <w:b/>
          <w:sz w:val="32"/>
        </w:rPr>
        <w:t>（一）机关运行经费及公用经费支出情况</w:t>
      </w:r>
    </w:p>
    <w:p w14:paraId="06C3E409">
      <w:pPr>
        <w:spacing w:line="580" w:lineRule="exact"/>
        <w:ind w:firstLine="640"/>
        <w:jc w:val="both"/>
      </w:pPr>
      <w:r>
        <w:rPr>
          <w:rFonts w:ascii="仿宋_GB2312" w:hAnsi="仿宋_GB2312" w:eastAsia="仿宋_GB2312"/>
          <w:b w:val="0"/>
          <w:sz w:val="32"/>
        </w:rPr>
        <w:t>2024年度博湖县总工会（行政单位和参照公务员法管理事业单位）机关运行经费支出1.46万元，比上年减少1.57万元，下降51.82%，主要原因是：本年减少办公经费，导致公用经费减少。</w:t>
      </w:r>
    </w:p>
    <w:p w14:paraId="737A7BDB">
      <w:pPr>
        <w:spacing w:line="640" w:lineRule="exact"/>
        <w:ind w:firstLine="640"/>
        <w:jc w:val="both"/>
        <w:outlineLvl w:val="3"/>
      </w:pPr>
      <w:r>
        <w:rPr>
          <w:rFonts w:ascii="楷体_GB2312" w:hAnsi="楷体_GB2312" w:eastAsia="楷体_GB2312"/>
          <w:b/>
          <w:sz w:val="32"/>
        </w:rPr>
        <w:t>（二）政府采购情况</w:t>
      </w:r>
    </w:p>
    <w:p w14:paraId="34581BA4">
      <w:pPr>
        <w:spacing w:line="580" w:lineRule="exact"/>
        <w:ind w:firstLine="640"/>
        <w:jc w:val="both"/>
      </w:pPr>
      <w:r>
        <w:rPr>
          <w:rFonts w:ascii="仿宋_GB2312" w:hAnsi="仿宋_GB2312" w:eastAsia="仿宋_GB2312"/>
          <w:b w:val="0"/>
          <w:sz w:val="32"/>
        </w:rPr>
        <w:t>2024年度政府采购支出总额1.99万元，其中：政府采购货物支出1.53万元、政府采购工程支出0.00万元、政府采购服务支出0.46万元。</w:t>
      </w:r>
    </w:p>
    <w:p w14:paraId="16D2A231">
      <w:pPr>
        <w:spacing w:line="580" w:lineRule="exact"/>
        <w:ind w:firstLine="640"/>
        <w:jc w:val="both"/>
      </w:pPr>
      <w:r>
        <w:rPr>
          <w:rFonts w:ascii="仿宋_GB2312" w:hAnsi="仿宋_GB2312" w:eastAsia="仿宋_GB2312"/>
          <w:b w:val="0"/>
          <w:sz w:val="32"/>
        </w:rPr>
        <w:t>授予中小企业合同金额1.99万元，占政府采购支出总额的100.00%，其中：授予小微企业合同金额1.99万元，占政府采购支出总额的100.00%。</w:t>
      </w:r>
    </w:p>
    <w:p w14:paraId="327EBDD5">
      <w:pPr>
        <w:spacing w:line="640" w:lineRule="exact"/>
        <w:ind w:firstLine="640"/>
        <w:jc w:val="both"/>
        <w:outlineLvl w:val="3"/>
      </w:pPr>
      <w:r>
        <w:rPr>
          <w:rFonts w:ascii="楷体_GB2312" w:hAnsi="楷体_GB2312" w:eastAsia="楷体_GB2312"/>
          <w:b/>
          <w:sz w:val="32"/>
        </w:rPr>
        <w:t>（三）国有资产占用情况说明</w:t>
      </w:r>
    </w:p>
    <w:p w14:paraId="43D0DA12">
      <w:pPr>
        <w:spacing w:line="580" w:lineRule="exact"/>
        <w:ind w:firstLine="640"/>
        <w:jc w:val="both"/>
      </w:pPr>
      <w:r>
        <w:rPr>
          <w:rFonts w:ascii="仿宋_GB2312" w:hAnsi="仿宋_GB2312" w:eastAsia="仿宋_GB2312"/>
          <w:b w:val="0"/>
          <w:sz w:val="32"/>
        </w:rPr>
        <w:t>截至2024年12月31日，房屋0.00平方米，价值0.00万元。车辆1辆，价值18.12万元，其中：副部（省）级及以上领导用车0辆、主要负责人用车0辆、机要通信用车0辆、应急保障用车0辆、执法执勤用车0辆、特种专业技术用车0辆、离退休干部服务用车0辆、其他用车1辆，其他用车主要是：</w:t>
      </w:r>
      <w:r>
        <w:rPr>
          <w:rFonts w:hint="eastAsia" w:ascii="仿宋_GB2312" w:hAnsi="仿宋_GB2312" w:eastAsia="仿宋_GB2312"/>
          <w:b w:val="0"/>
          <w:sz w:val="32"/>
          <w:lang w:val="en-US" w:eastAsia="zh-CN"/>
        </w:rPr>
        <w:t>部门</w:t>
      </w:r>
      <w:r>
        <w:rPr>
          <w:rFonts w:ascii="仿宋_GB2312" w:hAnsi="仿宋_GB2312" w:eastAsia="仿宋_GB2312"/>
          <w:b w:val="0"/>
          <w:sz w:val="32"/>
        </w:rPr>
        <w:t>业务用车。单价100万元（含）以上设备（不含车辆）0台（套）。</w:t>
      </w:r>
    </w:p>
    <w:p w14:paraId="66AA4791">
      <w:pPr>
        <w:spacing w:line="640" w:lineRule="exact"/>
        <w:ind w:firstLine="640"/>
        <w:jc w:val="both"/>
        <w:outlineLvl w:val="2"/>
      </w:pPr>
      <w:r>
        <w:rPr>
          <w:rFonts w:ascii="黑体" w:hAnsi="黑体" w:eastAsia="黑体"/>
          <w:sz w:val="32"/>
        </w:rPr>
        <w:t>十一、预算绩效的情况说明</w:t>
      </w:r>
    </w:p>
    <w:p w14:paraId="2136096C">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59.55万元，实际执行总额59.55万元；预算绩效评价项目1个，全年预算数0.53万元，全年执行数0.53万元。预算绩效管理取得的成效：一是进一步加强财政支出绩效管理，切实增强资金使用效率和责任意识，提高财政资金使用效率；二是促使用款人改善管理，提高绩效制度。发现的问题及原因：一是财务管理方法不够完善，绩效管理经验不足，部分成果无法用指标方式表述；二是绩效认识不到位，对绩效认识不够。下一步改进措施：一是进一步加强管理，完善财务制度，明确细化资金支付时间及使用进度，按需申请，按实使用，从而提高预算完成率和财政资金使用效率；二是财务人员和业务人员加强协调配合，共同完成。将负责项目的人员纳入绩效评价组织人员中，由具体负责项目的人员编制明年绩效监控报告，财务人员负责配合提供数据。具体附部门整体支出绩效自评表，项目支出绩效自评表和部门评价报告。</w:t>
      </w:r>
    </w:p>
    <w:p w14:paraId="0EC116FF">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74404F5A">
        <w:tblPrEx>
          <w:tblCellMar>
            <w:top w:w="0" w:type="dxa"/>
            <w:left w:w="108" w:type="dxa"/>
            <w:bottom w:w="0" w:type="dxa"/>
            <w:right w:w="108" w:type="dxa"/>
          </w:tblCellMar>
        </w:tblPrEx>
        <w:tc>
          <w:tcPr>
            <w:tcW w:w="8840" w:type="dxa"/>
            <w:gridSpan w:val="8"/>
            <w:vAlign w:val="center"/>
          </w:tcPr>
          <w:p w14:paraId="1CB6C59A">
            <w:pPr>
              <w:jc w:val="center"/>
            </w:pPr>
            <w:r>
              <w:rPr>
                <w:rFonts w:ascii="宋体" w:hAnsi="宋体" w:eastAsia="宋体"/>
                <w:sz w:val="24"/>
              </w:rPr>
              <w:t>部门整体支出绩效自评表</w:t>
            </w:r>
          </w:p>
        </w:tc>
      </w:tr>
      <w:tr w14:paraId="3BAB5ED7">
        <w:tblPrEx>
          <w:tblCellMar>
            <w:top w:w="0" w:type="dxa"/>
            <w:left w:w="108" w:type="dxa"/>
            <w:bottom w:w="0" w:type="dxa"/>
            <w:right w:w="108" w:type="dxa"/>
          </w:tblCellMar>
        </w:tblPrEx>
        <w:tc>
          <w:tcPr>
            <w:tcW w:w="8840" w:type="dxa"/>
            <w:gridSpan w:val="8"/>
            <w:vAlign w:val="center"/>
          </w:tcPr>
          <w:p w14:paraId="5C7D0CB2">
            <w:pPr>
              <w:jc w:val="center"/>
            </w:pPr>
            <w:r>
              <w:rPr>
                <w:rFonts w:ascii="宋体" w:hAnsi="宋体" w:eastAsia="宋体"/>
                <w:sz w:val="24"/>
              </w:rPr>
              <w:t>（2024年度）</w:t>
            </w:r>
          </w:p>
        </w:tc>
      </w:tr>
      <w:tr w14:paraId="63F379C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63793C">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F0355A">
            <w:pPr>
              <w:jc w:val="center"/>
            </w:pPr>
            <w:r>
              <w:rPr>
                <w:rFonts w:ascii="宋体" w:hAnsi="宋体" w:eastAsia="宋体"/>
                <w:sz w:val="16"/>
              </w:rPr>
              <w:t>博湖县总工会</w:t>
            </w:r>
          </w:p>
        </w:tc>
      </w:tr>
      <w:tr w14:paraId="0573490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7E607">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39E5D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8C05C5">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22B3BE">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67CAC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9AE6D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81CEA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6BD02">
            <w:pPr>
              <w:jc w:val="center"/>
            </w:pPr>
            <w:r>
              <w:rPr>
                <w:rFonts w:ascii="宋体" w:hAnsi="宋体" w:eastAsia="宋体"/>
                <w:sz w:val="16"/>
              </w:rPr>
              <w:t>得分</w:t>
            </w:r>
          </w:p>
        </w:tc>
      </w:tr>
      <w:tr w14:paraId="76877AA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0428B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51B4F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4E3D49">
            <w:pPr>
              <w:jc w:val="center"/>
            </w:pPr>
            <w:r>
              <w:rPr>
                <w:rFonts w:ascii="宋体" w:hAnsi="宋体" w:eastAsia="宋体"/>
                <w:sz w:val="16"/>
              </w:rPr>
              <w:t>38.49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98A36B">
            <w:pPr>
              <w:jc w:val="center"/>
            </w:pPr>
            <w:r>
              <w:rPr>
                <w:rFonts w:ascii="宋体" w:hAnsi="宋体" w:eastAsia="宋体"/>
                <w:sz w:val="16"/>
              </w:rPr>
              <w:t>59.55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E3E753">
            <w:pPr>
              <w:jc w:val="center"/>
            </w:pPr>
            <w:r>
              <w:rPr>
                <w:rFonts w:ascii="宋体" w:hAnsi="宋体" w:eastAsia="宋体"/>
                <w:sz w:val="16"/>
              </w:rPr>
              <w:t>59.55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9FF6AB">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5657C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9AFDD9">
            <w:pPr>
              <w:jc w:val="center"/>
            </w:pPr>
            <w:r>
              <w:rPr>
                <w:rFonts w:ascii="宋体" w:hAnsi="宋体" w:eastAsia="宋体"/>
                <w:sz w:val="16"/>
              </w:rPr>
              <w:t>10</w:t>
            </w:r>
          </w:p>
        </w:tc>
      </w:tr>
      <w:tr w14:paraId="3C0AD48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68D905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EE33EF">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43D07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4DEDF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DD16F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8877A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73BB1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825404">
            <w:pPr>
              <w:jc w:val="center"/>
            </w:pPr>
            <w:r>
              <w:rPr>
                <w:rFonts w:ascii="宋体" w:hAnsi="宋体" w:eastAsia="宋体"/>
                <w:sz w:val="16"/>
              </w:rPr>
              <w:t>-</w:t>
            </w:r>
          </w:p>
        </w:tc>
      </w:tr>
      <w:tr w14:paraId="7CD44D7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89D0C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31C065">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5A1DBE">
            <w:pPr>
              <w:jc w:val="center"/>
            </w:pPr>
            <w:r>
              <w:rPr>
                <w:rFonts w:ascii="宋体" w:hAnsi="宋体" w:eastAsia="宋体"/>
                <w:sz w:val="16"/>
              </w:rPr>
              <w:t>38.49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CA600B">
            <w:pPr>
              <w:jc w:val="center"/>
            </w:pPr>
            <w:r>
              <w:rPr>
                <w:rFonts w:ascii="宋体" w:hAnsi="宋体" w:eastAsia="宋体"/>
                <w:sz w:val="16"/>
              </w:rPr>
              <w:t>59.55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8A1F9C">
            <w:pPr>
              <w:jc w:val="center"/>
            </w:pPr>
            <w:r>
              <w:rPr>
                <w:rFonts w:ascii="宋体" w:hAnsi="宋体" w:eastAsia="宋体"/>
                <w:sz w:val="16"/>
              </w:rPr>
              <w:t>59.55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0B182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B287D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A2D28A">
            <w:pPr>
              <w:jc w:val="center"/>
            </w:pPr>
            <w:r>
              <w:rPr>
                <w:rFonts w:ascii="宋体" w:hAnsi="宋体" w:eastAsia="宋体"/>
                <w:sz w:val="16"/>
              </w:rPr>
              <w:t>-</w:t>
            </w:r>
          </w:p>
        </w:tc>
      </w:tr>
      <w:tr w14:paraId="628DED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F717CF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E5C0B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6DB73D">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2D597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0DC84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210FD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E5873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22182B">
            <w:pPr>
              <w:jc w:val="center"/>
            </w:pPr>
            <w:r>
              <w:rPr>
                <w:rFonts w:ascii="宋体" w:hAnsi="宋体" w:eastAsia="宋体"/>
                <w:sz w:val="16"/>
              </w:rPr>
              <w:t>-</w:t>
            </w:r>
          </w:p>
        </w:tc>
      </w:tr>
      <w:tr w14:paraId="5D9E957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2413E">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B5EF59">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E92FEE">
            <w:pPr>
              <w:jc w:val="center"/>
            </w:pPr>
            <w:r>
              <w:rPr>
                <w:rFonts w:ascii="宋体" w:hAnsi="宋体" w:eastAsia="宋体"/>
                <w:sz w:val="16"/>
              </w:rPr>
              <w:t>实际完成情况</w:t>
            </w:r>
          </w:p>
        </w:tc>
      </w:tr>
      <w:tr w14:paraId="02434B9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4AB38F"/>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C361FC">
            <w:pPr>
              <w:jc w:val="both"/>
            </w:pPr>
            <w:r>
              <w:rPr>
                <w:rFonts w:ascii="宋体" w:hAnsi="宋体" w:eastAsia="宋体"/>
                <w:sz w:val="16"/>
              </w:rPr>
              <w:t>紧紧围绕社会稳定和长治久安总目标，全面贯彻落实党的二十大精神及习近平总书记关于工人阶级和工会工作的重要论述，维护好广大职工群众包括农民工的合法权益，扎扎实实为职工群众办实事、解难事，以创建“让县委放心、让职工群众满意的工会机关”。积极深入开展维权活动，切实维护职工的合法权益，构建和谐劳动关系。全面做好困难职工帮扶工作，组织开展关心关爱困难职工活动，开展全县职工活动和职工、工会干部培训工作，提升职工技能及工会干部素养，广泛深入开展全县职工文体活动、劳动竞赛、技能竞赛和创新活动，提升职工技能，组建工会组织，做到线上线下为职工群众服务。</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BC1E0C">
            <w:pPr>
              <w:jc w:val="both"/>
            </w:pPr>
            <w:r>
              <w:rPr>
                <w:rFonts w:ascii="宋体" w:hAnsi="宋体" w:eastAsia="宋体"/>
                <w:sz w:val="16"/>
              </w:rPr>
              <w:t>2024年完成职工培训8场次，慰问劳动模范和先进工作者人数85人，专项扶贫资金覆盖困难职工户5户，走访企业50家，开展座谈20场次，持续推进建会入会工作，实现工会组织100%覆盖，全县已有108家单位4000名职工参与了职工互助保障，共受理12351平台投诉20起，涉及28人，已办结20起，进一步提升了职工群众思想政治责任意识，丰富了职工精神文化生活，激发职工工作热情。</w:t>
            </w:r>
          </w:p>
        </w:tc>
      </w:tr>
      <w:tr w14:paraId="33EC1BD6">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E5D540">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6AD45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BE4B3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19D49B">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45E1D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0F9227">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8A854A">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FB0FFE">
            <w:pPr>
              <w:jc w:val="center"/>
            </w:pPr>
            <w:r>
              <w:rPr>
                <w:rFonts w:ascii="宋体" w:hAnsi="宋体" w:eastAsia="宋体"/>
                <w:sz w:val="16"/>
              </w:rPr>
              <w:t>得分</w:t>
            </w:r>
          </w:p>
        </w:tc>
      </w:tr>
      <w:tr w14:paraId="3CF9CFF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EDB09B">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E4E73">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3D296F">
            <w:pPr>
              <w:jc w:val="center"/>
            </w:pPr>
            <w:r>
              <w:rPr>
                <w:rFonts w:ascii="宋体" w:hAnsi="宋体" w:eastAsia="宋体"/>
                <w:sz w:val="16"/>
              </w:rPr>
              <w:t>举办职工培训场次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87D4A0">
            <w:pPr>
              <w:jc w:val="center"/>
            </w:pPr>
            <w:r>
              <w:rPr>
                <w:rFonts w:ascii="宋体" w:hAnsi="宋体" w:eastAsia="宋体"/>
                <w:sz w:val="16"/>
              </w:rPr>
              <w:t>&gt;=6次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205806">
            <w:pPr>
              <w:jc w:val="center"/>
            </w:pPr>
            <w:r>
              <w:rPr>
                <w:rFonts w:ascii="宋体" w:hAnsi="宋体" w:eastAsia="宋体"/>
                <w:sz w:val="16"/>
              </w:rPr>
              <w:t>工作总结及计划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BF6B9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D13CF3">
            <w:pPr>
              <w:jc w:val="center"/>
            </w:pPr>
            <w:r>
              <w:rPr>
                <w:rFonts w:ascii="宋体" w:hAnsi="宋体" w:eastAsia="宋体"/>
                <w:sz w:val="16"/>
              </w:rPr>
              <w:t>=8次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036087">
            <w:pPr>
              <w:jc w:val="center"/>
            </w:pPr>
            <w:r>
              <w:rPr>
                <w:rFonts w:ascii="宋体" w:hAnsi="宋体" w:eastAsia="宋体"/>
                <w:sz w:val="16"/>
              </w:rPr>
              <w:t>30</w:t>
            </w:r>
          </w:p>
        </w:tc>
      </w:tr>
      <w:tr w14:paraId="686F3FE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0111F2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90BA04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67CC66">
            <w:pPr>
              <w:jc w:val="center"/>
            </w:pPr>
            <w:r>
              <w:rPr>
                <w:rFonts w:ascii="宋体" w:hAnsi="宋体" w:eastAsia="宋体"/>
                <w:sz w:val="16"/>
              </w:rPr>
              <w:t>慰问劳动模范和先进工作者人数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4418C3">
            <w:pPr>
              <w:jc w:val="center"/>
            </w:pPr>
            <w:r>
              <w:rPr>
                <w:rFonts w:ascii="宋体" w:hAnsi="宋体" w:eastAsia="宋体"/>
                <w:sz w:val="16"/>
              </w:rPr>
              <w:t>&gt;=85人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70C969">
            <w:pPr>
              <w:jc w:val="center"/>
            </w:pPr>
            <w:r>
              <w:rPr>
                <w:rFonts w:ascii="宋体" w:hAnsi="宋体" w:eastAsia="宋体"/>
                <w:sz w:val="16"/>
              </w:rPr>
              <w:t>自治区文件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A5E037">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C78C83">
            <w:pPr>
              <w:jc w:val="center"/>
            </w:pPr>
            <w:r>
              <w:rPr>
                <w:rFonts w:ascii="宋体" w:hAnsi="宋体" w:eastAsia="宋体"/>
                <w:sz w:val="16"/>
              </w:rPr>
              <w:t>=85人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412EE5">
            <w:pPr>
              <w:jc w:val="center"/>
            </w:pPr>
            <w:r>
              <w:rPr>
                <w:rFonts w:ascii="宋体" w:hAnsi="宋体" w:eastAsia="宋体"/>
                <w:sz w:val="16"/>
              </w:rPr>
              <w:t>20</w:t>
            </w:r>
          </w:p>
        </w:tc>
      </w:tr>
      <w:tr w14:paraId="2B8CE39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AEF87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F87C3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B35631">
            <w:pPr>
              <w:jc w:val="center"/>
            </w:pPr>
            <w:r>
              <w:rPr>
                <w:rFonts w:ascii="宋体" w:hAnsi="宋体" w:eastAsia="宋体"/>
                <w:sz w:val="16"/>
              </w:rPr>
              <w:t>专项扶贫资金覆盖困难职工户数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95B17F">
            <w:pPr>
              <w:jc w:val="center"/>
            </w:pPr>
            <w:r>
              <w:rPr>
                <w:rFonts w:ascii="宋体" w:hAnsi="宋体" w:eastAsia="宋体"/>
                <w:sz w:val="16"/>
              </w:rPr>
              <w:t>&gt;=5户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370832">
            <w:pPr>
              <w:jc w:val="center"/>
            </w:pPr>
            <w:r>
              <w:rPr>
                <w:rFonts w:ascii="宋体" w:hAnsi="宋体" w:eastAsia="宋体"/>
                <w:sz w:val="16"/>
              </w:rPr>
              <w:t>工作总结及计划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C23883">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6D8A8F">
            <w:pPr>
              <w:jc w:val="center"/>
            </w:pPr>
            <w:r>
              <w:rPr>
                <w:rFonts w:ascii="宋体" w:hAnsi="宋体" w:eastAsia="宋体"/>
                <w:sz w:val="16"/>
              </w:rPr>
              <w:t>=5户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E34B41">
            <w:pPr>
              <w:jc w:val="center"/>
            </w:pPr>
            <w:r>
              <w:rPr>
                <w:rFonts w:ascii="宋体" w:hAnsi="宋体" w:eastAsia="宋体"/>
                <w:sz w:val="16"/>
              </w:rPr>
              <w:t>20</w:t>
            </w:r>
          </w:p>
        </w:tc>
      </w:tr>
      <w:tr w14:paraId="058E054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75D84E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B1127E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5D79A2">
            <w:pPr>
              <w:jc w:val="center"/>
            </w:pPr>
            <w:r>
              <w:rPr>
                <w:rFonts w:ascii="宋体" w:hAnsi="宋体" w:eastAsia="宋体"/>
                <w:sz w:val="16"/>
              </w:rPr>
              <w:t>职工互助医疗保障人数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AB0DDE">
            <w:pPr>
              <w:jc w:val="center"/>
            </w:pPr>
            <w:r>
              <w:rPr>
                <w:rFonts w:ascii="宋体" w:hAnsi="宋体" w:eastAsia="宋体"/>
                <w:sz w:val="16"/>
              </w:rPr>
              <w:t>&gt;=4000人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462B8D">
            <w:pPr>
              <w:jc w:val="center"/>
            </w:pPr>
            <w:r>
              <w:rPr>
                <w:rFonts w:ascii="宋体" w:hAnsi="宋体" w:eastAsia="宋体"/>
                <w:sz w:val="16"/>
              </w:rPr>
              <w:t>工作计划及总结</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404CBA">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8F63CA">
            <w:pPr>
              <w:jc w:val="center"/>
            </w:pPr>
            <w:r>
              <w:rPr>
                <w:rFonts w:ascii="宋体" w:hAnsi="宋体" w:eastAsia="宋体"/>
                <w:sz w:val="16"/>
              </w:rPr>
              <w:t>=4000人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D77B74">
            <w:pPr>
              <w:jc w:val="center"/>
            </w:pPr>
            <w:r>
              <w:rPr>
                <w:rFonts w:ascii="宋体" w:hAnsi="宋体" w:eastAsia="宋体"/>
                <w:sz w:val="16"/>
              </w:rPr>
              <w:t>20</w:t>
            </w:r>
          </w:p>
        </w:tc>
      </w:tr>
    </w:tbl>
    <w:p w14:paraId="457B7EE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1DC7A087">
        <w:tblPrEx>
          <w:tblCellMar>
            <w:top w:w="0" w:type="dxa"/>
            <w:left w:w="108" w:type="dxa"/>
            <w:bottom w:w="0" w:type="dxa"/>
            <w:right w:w="108" w:type="dxa"/>
          </w:tblCellMar>
        </w:tblPrEx>
        <w:tc>
          <w:tcPr>
            <w:tcW w:w="8848" w:type="dxa"/>
            <w:gridSpan w:val="14"/>
            <w:vAlign w:val="center"/>
          </w:tcPr>
          <w:p w14:paraId="40C966AE">
            <w:pPr>
              <w:jc w:val="center"/>
            </w:pPr>
            <w:r>
              <w:rPr>
                <w:rFonts w:ascii="宋体" w:hAnsi="宋体" w:eastAsia="宋体"/>
                <w:sz w:val="24"/>
              </w:rPr>
              <w:t>项目支出绩效自评表</w:t>
            </w:r>
          </w:p>
        </w:tc>
      </w:tr>
      <w:tr w14:paraId="4616C52D">
        <w:tblPrEx>
          <w:tblCellMar>
            <w:top w:w="0" w:type="dxa"/>
            <w:left w:w="108" w:type="dxa"/>
            <w:bottom w:w="0" w:type="dxa"/>
            <w:right w:w="108" w:type="dxa"/>
          </w:tblCellMar>
        </w:tblPrEx>
        <w:tc>
          <w:tcPr>
            <w:tcW w:w="8848" w:type="dxa"/>
            <w:gridSpan w:val="14"/>
            <w:vAlign w:val="center"/>
          </w:tcPr>
          <w:p w14:paraId="0887DC87">
            <w:pPr>
              <w:jc w:val="center"/>
            </w:pPr>
            <w:r>
              <w:rPr>
                <w:rFonts w:ascii="宋体" w:hAnsi="宋体" w:eastAsia="宋体"/>
                <w:sz w:val="24"/>
              </w:rPr>
              <w:t>(2024年度)</w:t>
            </w:r>
          </w:p>
        </w:tc>
      </w:tr>
      <w:tr w14:paraId="0798EC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6E7E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6F4EDE">
            <w:pPr>
              <w:jc w:val="center"/>
            </w:pPr>
            <w:r>
              <w:rPr>
                <w:rFonts w:ascii="宋体" w:hAnsi="宋体" w:eastAsia="宋体"/>
                <w:sz w:val="16"/>
              </w:rPr>
              <w:t>2023年“五个好”党支部补助</w:t>
            </w:r>
          </w:p>
        </w:tc>
      </w:tr>
      <w:tr w14:paraId="3CB41C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78FA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4B0DA6">
            <w:pPr>
              <w:jc w:val="center"/>
            </w:pPr>
            <w:r>
              <w:rPr>
                <w:rFonts w:ascii="宋体" w:hAnsi="宋体" w:eastAsia="宋体"/>
                <w:sz w:val="16"/>
              </w:rPr>
              <w:t>博湖县总工会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A8DA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505BF0">
            <w:pPr>
              <w:jc w:val="center"/>
            </w:pPr>
            <w:r>
              <w:rPr>
                <w:rFonts w:ascii="宋体" w:hAnsi="宋体" w:eastAsia="宋体"/>
                <w:sz w:val="16"/>
              </w:rPr>
              <w:t>博湖县总工会</w:t>
            </w:r>
          </w:p>
        </w:tc>
      </w:tr>
      <w:tr w14:paraId="402FDB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A53D3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A89C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EFDC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A853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C2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21FE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CB65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7F2C">
            <w:pPr>
              <w:jc w:val="center"/>
            </w:pPr>
            <w:r>
              <w:rPr>
                <w:rFonts w:ascii="宋体" w:hAnsi="宋体" w:eastAsia="宋体"/>
                <w:sz w:val="16"/>
              </w:rPr>
              <w:t>得分</w:t>
            </w:r>
          </w:p>
        </w:tc>
      </w:tr>
      <w:tr w14:paraId="5DBD5D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064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218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A205A">
            <w:pPr>
              <w:jc w:val="center"/>
            </w:pPr>
            <w:r>
              <w:rPr>
                <w:rFonts w:ascii="宋体" w:hAnsi="宋体" w:eastAsia="宋体"/>
                <w:sz w:val="16"/>
              </w:rPr>
              <w:t>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EF8B5">
            <w:pPr>
              <w:jc w:val="center"/>
            </w:pPr>
            <w:r>
              <w:rPr>
                <w:rFonts w:ascii="宋体" w:hAnsi="宋体" w:eastAsia="宋体"/>
                <w:sz w:val="16"/>
              </w:rPr>
              <w:t>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A8A6B">
            <w:pPr>
              <w:jc w:val="center"/>
            </w:pPr>
            <w:r>
              <w:rPr>
                <w:rFonts w:ascii="宋体" w:hAnsi="宋体" w:eastAsia="宋体"/>
                <w:sz w:val="16"/>
              </w:rPr>
              <w:t>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909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7891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E86D6">
            <w:pPr>
              <w:jc w:val="center"/>
            </w:pPr>
            <w:r>
              <w:rPr>
                <w:rFonts w:ascii="宋体" w:hAnsi="宋体" w:eastAsia="宋体"/>
                <w:sz w:val="16"/>
              </w:rPr>
              <w:t>10.00</w:t>
            </w:r>
          </w:p>
        </w:tc>
      </w:tr>
      <w:tr w14:paraId="5613BB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ECA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A6AC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B8A18">
            <w:pPr>
              <w:jc w:val="center"/>
            </w:pPr>
            <w:r>
              <w:rPr>
                <w:rFonts w:ascii="宋体" w:hAnsi="宋体" w:eastAsia="宋体"/>
                <w:sz w:val="16"/>
              </w:rPr>
              <w:t>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60E11">
            <w:pPr>
              <w:jc w:val="center"/>
            </w:pPr>
            <w:r>
              <w:rPr>
                <w:rFonts w:ascii="宋体" w:hAnsi="宋体" w:eastAsia="宋体"/>
                <w:sz w:val="16"/>
              </w:rPr>
              <w:t>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55299">
            <w:pPr>
              <w:jc w:val="center"/>
            </w:pPr>
            <w:r>
              <w:rPr>
                <w:rFonts w:ascii="宋体" w:hAnsi="宋体" w:eastAsia="宋体"/>
                <w:sz w:val="16"/>
              </w:rPr>
              <w:t>0.53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4EE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7A2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09D3">
            <w:pPr>
              <w:jc w:val="center"/>
            </w:pPr>
            <w:r>
              <w:rPr>
                <w:rFonts w:ascii="宋体" w:hAnsi="宋体" w:eastAsia="宋体"/>
                <w:sz w:val="16"/>
              </w:rPr>
              <w:t>-</w:t>
            </w:r>
          </w:p>
        </w:tc>
      </w:tr>
      <w:tr w14:paraId="69EA24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36E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460C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848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1F6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65C7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1BA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8CC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7F1B">
            <w:pPr>
              <w:jc w:val="center"/>
            </w:pPr>
            <w:r>
              <w:rPr>
                <w:rFonts w:ascii="宋体" w:hAnsi="宋体" w:eastAsia="宋体"/>
                <w:sz w:val="16"/>
              </w:rPr>
              <w:t>-</w:t>
            </w:r>
          </w:p>
        </w:tc>
      </w:tr>
      <w:tr w14:paraId="362364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906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80B13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2CACB9">
            <w:pPr>
              <w:jc w:val="center"/>
            </w:pPr>
            <w:r>
              <w:rPr>
                <w:rFonts w:ascii="宋体" w:hAnsi="宋体" w:eastAsia="宋体"/>
                <w:sz w:val="16"/>
              </w:rPr>
              <w:t>总体目标完成情况</w:t>
            </w:r>
          </w:p>
        </w:tc>
      </w:tr>
      <w:tr w14:paraId="737D9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7727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66842C">
            <w:pPr>
              <w:jc w:val="both"/>
            </w:pPr>
            <w:r>
              <w:rPr>
                <w:rFonts w:ascii="宋体" w:hAnsi="宋体" w:eastAsia="宋体"/>
                <w:sz w:val="16"/>
              </w:rPr>
              <w:t>根据“五个好”党支部工作计划，制作党建制度牌1块、打造党建工作区1个、展示柜2个，深入推进党建带工建，哪里有职工，哪里就要建立工会组织 ，提高职工政治思想，提高“五个好”党支部宣传知晓率。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6BF885">
            <w:pPr>
              <w:jc w:val="both"/>
            </w:pPr>
            <w:r>
              <w:rPr>
                <w:rFonts w:ascii="宋体" w:hAnsi="宋体" w:eastAsia="宋体"/>
                <w:sz w:val="16"/>
              </w:rPr>
              <w:t xml:space="preserve">  2024年完成制作党建制度牌1块验收合格、完成打造党建工作区1个验收合格、完成红帆党支部展示柜制作2个并验收合格，开展互动活动、促进宣传交流，有效提高了职工政治思想。</w:t>
            </w:r>
          </w:p>
        </w:tc>
      </w:tr>
      <w:tr w14:paraId="07145A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B160C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378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2F7C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72C8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DF03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927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328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3E1C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59C4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E9E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3F4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67BB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9A78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7CF9">
            <w:pPr>
              <w:jc w:val="center"/>
            </w:pPr>
            <w:r>
              <w:rPr>
                <w:rFonts w:ascii="宋体" w:hAnsi="宋体" w:eastAsia="宋体"/>
                <w:sz w:val="16"/>
              </w:rPr>
              <w:t>偏差原因分析及改进措施</w:t>
            </w:r>
          </w:p>
        </w:tc>
      </w:tr>
      <w:tr w14:paraId="4D57D8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19B9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46055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C5044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F3394">
            <w:pPr>
              <w:jc w:val="center"/>
            </w:pPr>
            <w:r>
              <w:rPr>
                <w:rFonts w:ascii="宋体" w:hAnsi="宋体" w:eastAsia="宋体"/>
                <w:sz w:val="16"/>
              </w:rPr>
              <w:t>党建制度牌制作数量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D3D4D">
            <w:pPr>
              <w:jc w:val="center"/>
            </w:pPr>
            <w:r>
              <w:rPr>
                <w:rFonts w:ascii="宋体" w:hAnsi="宋体" w:eastAsia="宋体"/>
                <w:sz w:val="16"/>
              </w:rPr>
              <w:t>=1块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A73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AB2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1F95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C73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BCC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62567">
            <w:pPr>
              <w:jc w:val="center"/>
            </w:pPr>
            <w:r>
              <w:rPr>
                <w:rFonts w:ascii="宋体" w:hAnsi="宋体" w:eastAsia="宋体"/>
                <w:sz w:val="16"/>
              </w:rPr>
              <w:t>=1块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56D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0F4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EEE2C">
            <w:pPr>
              <w:jc w:val="center"/>
            </w:pPr>
          </w:p>
        </w:tc>
      </w:tr>
      <w:tr w14:paraId="3E9409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C12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9CE6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27F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44012">
            <w:pPr>
              <w:jc w:val="center"/>
            </w:pPr>
            <w:r>
              <w:rPr>
                <w:rFonts w:ascii="宋体" w:hAnsi="宋体" w:eastAsia="宋体"/>
                <w:sz w:val="16"/>
              </w:rPr>
              <w:t>红帆党支部展示柜制作数量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9B16A">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C26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A1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E34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245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290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F8E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49A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495A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508ED">
            <w:pPr>
              <w:jc w:val="center"/>
            </w:pPr>
          </w:p>
        </w:tc>
      </w:tr>
      <w:tr w14:paraId="55189B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8D3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9B5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2F9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9717E">
            <w:pPr>
              <w:jc w:val="center"/>
            </w:pPr>
            <w:r>
              <w:rPr>
                <w:rFonts w:ascii="宋体" w:hAnsi="宋体" w:eastAsia="宋体"/>
                <w:sz w:val="16"/>
              </w:rPr>
              <w:t>党建工作区打造数量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64A6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181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B2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288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24E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9C3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ADBD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C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A630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421A4">
            <w:pPr>
              <w:jc w:val="center"/>
            </w:pPr>
          </w:p>
        </w:tc>
      </w:tr>
      <w:tr w14:paraId="172860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162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7F61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15A6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9D1D">
            <w:pPr>
              <w:jc w:val="center"/>
            </w:pPr>
            <w:r>
              <w:rPr>
                <w:rFonts w:ascii="宋体" w:hAnsi="宋体" w:eastAsia="宋体"/>
                <w:sz w:val="16"/>
              </w:rPr>
              <w:t>党建制度牌、展示柜、党建工作区打造质量合格率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F33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AF0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C00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D66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952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73B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E85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8C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642B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3D4BF">
            <w:pPr>
              <w:jc w:val="center"/>
            </w:pPr>
          </w:p>
        </w:tc>
      </w:tr>
      <w:tr w14:paraId="5DBA93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7E4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FF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1B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0B1A3">
            <w:pPr>
              <w:jc w:val="center"/>
            </w:pPr>
            <w:r>
              <w:rPr>
                <w:rFonts w:ascii="宋体" w:hAnsi="宋体" w:eastAsia="宋体"/>
                <w:sz w:val="16"/>
              </w:rPr>
              <w:t>党建制度牌、展示柜、党建工作区打造完成时间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EADA5">
            <w:pPr>
              <w:jc w:val="center"/>
            </w:pPr>
            <w:r>
              <w:rPr>
                <w:rFonts w:ascii="宋体" w:hAnsi="宋体" w:eastAsia="宋体"/>
                <w:sz w:val="16"/>
              </w:rPr>
              <w:t>2024年12月28日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BE6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28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3C18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8FD1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DA0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C27F">
            <w:pPr>
              <w:jc w:val="center"/>
            </w:pPr>
            <w:r>
              <w:rPr>
                <w:rFonts w:ascii="宋体" w:hAnsi="宋体" w:eastAsia="宋体"/>
                <w:sz w:val="16"/>
              </w:rPr>
              <w:t>=2024年12月13日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E6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F7D9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3027">
            <w:pPr>
              <w:jc w:val="center"/>
            </w:pPr>
          </w:p>
        </w:tc>
      </w:tr>
      <w:tr w14:paraId="322C79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3B406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E809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EAA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B87E">
            <w:pPr>
              <w:jc w:val="center"/>
            </w:pPr>
            <w:r>
              <w:rPr>
                <w:rFonts w:ascii="宋体" w:hAnsi="宋体" w:eastAsia="宋体"/>
                <w:sz w:val="16"/>
              </w:rPr>
              <w:t>党建制度牌制作成本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F7F10">
            <w:pPr>
              <w:jc w:val="center"/>
            </w:pPr>
            <w:r>
              <w:rPr>
                <w:rFonts w:ascii="宋体" w:hAnsi="宋体" w:eastAsia="宋体"/>
                <w:sz w:val="16"/>
              </w:rPr>
              <w:t>&lt;=0.03万元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E46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4D6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FE1D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358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54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39D5">
            <w:pPr>
              <w:jc w:val="center"/>
            </w:pPr>
            <w:r>
              <w:rPr>
                <w:rFonts w:ascii="宋体" w:hAnsi="宋体" w:eastAsia="宋体"/>
                <w:sz w:val="16"/>
              </w:rPr>
              <w:t>=0.03万元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FFD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1441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A32E">
            <w:pPr>
              <w:jc w:val="center"/>
            </w:pPr>
          </w:p>
        </w:tc>
      </w:tr>
      <w:tr w14:paraId="1046EE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B42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843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E3B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572B">
            <w:pPr>
              <w:jc w:val="center"/>
            </w:pPr>
            <w:r>
              <w:rPr>
                <w:rFonts w:ascii="宋体" w:hAnsi="宋体" w:eastAsia="宋体"/>
                <w:sz w:val="16"/>
              </w:rPr>
              <w:t>红帆党支部展示柜制作成本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5BA3B">
            <w:pPr>
              <w:jc w:val="center"/>
            </w:pPr>
            <w:r>
              <w:rPr>
                <w:rFonts w:ascii="宋体" w:hAnsi="宋体" w:eastAsia="宋体"/>
                <w:sz w:val="16"/>
              </w:rPr>
              <w:t>&lt;=0.28万元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2B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EE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83D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4BC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016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3D373">
            <w:pPr>
              <w:jc w:val="center"/>
            </w:pPr>
            <w:r>
              <w:rPr>
                <w:rFonts w:ascii="宋体" w:hAnsi="宋体" w:eastAsia="宋体"/>
                <w:sz w:val="16"/>
              </w:rPr>
              <w:t>=0.28万元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DCF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DC0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171C5">
            <w:pPr>
              <w:jc w:val="center"/>
            </w:pPr>
          </w:p>
        </w:tc>
      </w:tr>
      <w:tr w14:paraId="08F6EE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3DC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AAD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DCB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9CFC3">
            <w:pPr>
              <w:jc w:val="center"/>
            </w:pPr>
            <w:r>
              <w:rPr>
                <w:rFonts w:ascii="宋体" w:hAnsi="宋体" w:eastAsia="宋体"/>
                <w:sz w:val="16"/>
              </w:rPr>
              <w:t>党建工作区打造成本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5F6E">
            <w:pPr>
              <w:jc w:val="center"/>
            </w:pPr>
            <w:r>
              <w:rPr>
                <w:rFonts w:ascii="宋体" w:hAnsi="宋体" w:eastAsia="宋体"/>
                <w:sz w:val="16"/>
              </w:rPr>
              <w:t>&lt;=0.22万元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E3C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B5D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F16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8FF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774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3CBE">
            <w:pPr>
              <w:jc w:val="center"/>
            </w:pPr>
            <w:r>
              <w:rPr>
                <w:rFonts w:ascii="宋体" w:hAnsi="宋体" w:eastAsia="宋体"/>
                <w:sz w:val="16"/>
              </w:rPr>
              <w:t>=0.22万元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18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60BC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7769">
            <w:pPr>
              <w:jc w:val="center"/>
            </w:pPr>
          </w:p>
        </w:tc>
      </w:tr>
      <w:tr w14:paraId="3D1F4C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2DB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0A8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2A26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1F516">
            <w:pPr>
              <w:jc w:val="center"/>
            </w:pPr>
            <w:r>
              <w:rPr>
                <w:rFonts w:ascii="宋体" w:hAnsi="宋体" w:eastAsia="宋体"/>
                <w:sz w:val="16"/>
              </w:rPr>
              <w:t>“五个好”党支部宣传知晓率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A19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275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633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462D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E7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965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DCC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82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58B0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6F563">
            <w:pPr>
              <w:jc w:val="center"/>
            </w:pPr>
          </w:p>
        </w:tc>
      </w:tr>
      <w:tr w14:paraId="3264C8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E713B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BBAF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E135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8D2C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115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3C46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D22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7B63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99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83B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98E4F4"/>
        </w:tc>
      </w:tr>
    </w:tbl>
    <w:p w14:paraId="4C552E51">
      <w:r>
        <w:br w:type="page"/>
      </w:r>
    </w:p>
    <w:p w14:paraId="5496C54D">
      <w:pPr>
        <w:spacing w:line="640" w:lineRule="exact"/>
        <w:ind w:firstLine="640"/>
        <w:jc w:val="both"/>
        <w:outlineLvl w:val="2"/>
      </w:pPr>
      <w:r>
        <w:rPr>
          <w:rFonts w:ascii="黑体" w:hAnsi="黑体" w:eastAsia="黑体"/>
          <w:sz w:val="32"/>
        </w:rPr>
        <w:t>十二、其他需说明的事项</w:t>
      </w:r>
    </w:p>
    <w:p w14:paraId="3D1FF6D6">
      <w:pPr>
        <w:spacing w:line="580" w:lineRule="exact"/>
        <w:ind w:firstLine="640"/>
        <w:jc w:val="both"/>
      </w:pPr>
      <w:r>
        <w:rPr>
          <w:rFonts w:ascii="仿宋_GB2312" w:hAnsi="仿宋_GB2312" w:eastAsia="仿宋_GB2312"/>
          <w:b w:val="0"/>
          <w:sz w:val="32"/>
        </w:rPr>
        <w:t>本部门无其他需说明的事项。</w:t>
      </w:r>
    </w:p>
    <w:p w14:paraId="5A39FE7D">
      <w:r>
        <w:br w:type="page"/>
      </w:r>
    </w:p>
    <w:p w14:paraId="606E9B8D">
      <w:pPr>
        <w:spacing w:line="240" w:lineRule="auto"/>
        <w:jc w:val="center"/>
        <w:outlineLvl w:val="1"/>
      </w:pPr>
      <w:r>
        <w:rPr>
          <w:rFonts w:ascii="黑体" w:hAnsi="黑体" w:eastAsia="黑体"/>
          <w:sz w:val="32"/>
        </w:rPr>
        <w:t>第三部分 专业名词解释</w:t>
      </w:r>
    </w:p>
    <w:p w14:paraId="36709D3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23058C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63D9A0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6ECAA0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75F498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7AF7DC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383E8B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2C78FD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7750BD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48BEC4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9CFDD9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41ABCB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8A127E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D5903B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1BD2750">
      <w:r>
        <w:br w:type="page"/>
      </w:r>
    </w:p>
    <w:p w14:paraId="26BC5FB8">
      <w:pPr>
        <w:spacing w:line="240" w:lineRule="auto"/>
        <w:jc w:val="center"/>
        <w:outlineLvl w:val="1"/>
      </w:pPr>
      <w:r>
        <w:rPr>
          <w:rFonts w:ascii="黑体" w:hAnsi="黑体" w:eastAsia="黑体"/>
          <w:sz w:val="32"/>
        </w:rPr>
        <w:t>第四部分 部门决算报表（见附表）</w:t>
      </w:r>
    </w:p>
    <w:p w14:paraId="275DF044">
      <w:pPr>
        <w:spacing w:line="240" w:lineRule="auto"/>
        <w:ind w:firstLine="640"/>
        <w:jc w:val="both"/>
      </w:pPr>
      <w:r>
        <w:rPr>
          <w:rFonts w:ascii="仿宋_GB2312" w:hAnsi="仿宋_GB2312" w:eastAsia="仿宋_GB2312"/>
          <w:b w:val="0"/>
          <w:sz w:val="32"/>
        </w:rPr>
        <w:t>一、《收入支出决算总表》</w:t>
      </w:r>
    </w:p>
    <w:p w14:paraId="6A021151">
      <w:pPr>
        <w:spacing w:line="240" w:lineRule="auto"/>
        <w:ind w:firstLine="640"/>
        <w:jc w:val="both"/>
      </w:pPr>
      <w:r>
        <w:rPr>
          <w:rFonts w:ascii="仿宋_GB2312" w:hAnsi="仿宋_GB2312" w:eastAsia="仿宋_GB2312"/>
          <w:b w:val="0"/>
          <w:sz w:val="32"/>
        </w:rPr>
        <w:t>二、《收入决算表》</w:t>
      </w:r>
    </w:p>
    <w:p w14:paraId="227D9DB7">
      <w:pPr>
        <w:spacing w:line="240" w:lineRule="auto"/>
        <w:ind w:firstLine="640"/>
        <w:jc w:val="both"/>
      </w:pPr>
      <w:r>
        <w:rPr>
          <w:rFonts w:ascii="仿宋_GB2312" w:hAnsi="仿宋_GB2312" w:eastAsia="仿宋_GB2312"/>
          <w:b w:val="0"/>
          <w:sz w:val="32"/>
        </w:rPr>
        <w:t>三、《支出决算表》</w:t>
      </w:r>
    </w:p>
    <w:p w14:paraId="015856AF">
      <w:pPr>
        <w:spacing w:line="240" w:lineRule="auto"/>
        <w:ind w:firstLine="640"/>
        <w:jc w:val="both"/>
      </w:pPr>
      <w:r>
        <w:rPr>
          <w:rFonts w:ascii="仿宋_GB2312" w:hAnsi="仿宋_GB2312" w:eastAsia="仿宋_GB2312"/>
          <w:b w:val="0"/>
          <w:sz w:val="32"/>
        </w:rPr>
        <w:t>四、《财政拨款收入支出决算总表》</w:t>
      </w:r>
    </w:p>
    <w:p w14:paraId="12423F8D">
      <w:pPr>
        <w:spacing w:line="240" w:lineRule="auto"/>
        <w:ind w:firstLine="640"/>
        <w:jc w:val="both"/>
      </w:pPr>
      <w:r>
        <w:rPr>
          <w:rFonts w:ascii="仿宋_GB2312" w:hAnsi="仿宋_GB2312" w:eastAsia="仿宋_GB2312"/>
          <w:b w:val="0"/>
          <w:sz w:val="32"/>
        </w:rPr>
        <w:t>五、《一般公共预算财政拨款支出决算表》</w:t>
      </w:r>
    </w:p>
    <w:p w14:paraId="0A704591">
      <w:pPr>
        <w:spacing w:line="240" w:lineRule="auto"/>
        <w:ind w:firstLine="640"/>
        <w:jc w:val="both"/>
      </w:pPr>
      <w:r>
        <w:rPr>
          <w:rFonts w:ascii="仿宋_GB2312" w:hAnsi="仿宋_GB2312" w:eastAsia="仿宋_GB2312"/>
          <w:b w:val="0"/>
          <w:sz w:val="32"/>
        </w:rPr>
        <w:t>六、《一般公共预算财政拨款基本支出决算表》</w:t>
      </w:r>
    </w:p>
    <w:p w14:paraId="12A9DD10">
      <w:pPr>
        <w:spacing w:line="240" w:lineRule="auto"/>
        <w:ind w:firstLine="640"/>
        <w:jc w:val="both"/>
      </w:pPr>
      <w:r>
        <w:rPr>
          <w:rFonts w:ascii="仿宋_GB2312" w:hAnsi="仿宋_GB2312" w:eastAsia="仿宋_GB2312"/>
          <w:b w:val="0"/>
          <w:sz w:val="32"/>
        </w:rPr>
        <w:t>七、《政府性基金预算财政拨款收入支出决算表》</w:t>
      </w:r>
    </w:p>
    <w:p w14:paraId="1502046A">
      <w:pPr>
        <w:spacing w:line="240" w:lineRule="auto"/>
        <w:ind w:firstLine="640"/>
        <w:jc w:val="both"/>
      </w:pPr>
      <w:r>
        <w:rPr>
          <w:rFonts w:ascii="仿宋_GB2312" w:hAnsi="仿宋_GB2312" w:eastAsia="仿宋_GB2312"/>
          <w:b w:val="0"/>
          <w:sz w:val="32"/>
        </w:rPr>
        <w:t>八、《国有资本经营预算财政拨款收入支出决算表》</w:t>
      </w:r>
    </w:p>
    <w:p w14:paraId="3F246DEF">
      <w:pPr>
        <w:spacing w:line="240" w:lineRule="auto"/>
        <w:ind w:firstLine="640"/>
        <w:jc w:val="both"/>
      </w:pPr>
      <w:r>
        <w:rPr>
          <w:rFonts w:ascii="仿宋_GB2312" w:hAnsi="仿宋_GB2312" w:eastAsia="仿宋_GB2312"/>
          <w:b w:val="0"/>
          <w:sz w:val="32"/>
        </w:rPr>
        <w:t>九、《财政拨款“三公”经费支出决算表》</w:t>
      </w:r>
    </w:p>
    <w:p w14:paraId="3FBEAFEB">
      <w:pPr>
        <w:spacing w:line="240" w:lineRule="auto"/>
        <w:ind w:firstLine="640"/>
        <w:jc w:val="both"/>
      </w:pPr>
    </w:p>
    <w:p w14:paraId="7FAEF3EF">
      <w:pPr>
        <w:spacing w:line="240" w:lineRule="auto"/>
        <w:ind w:firstLine="640"/>
        <w:jc w:val="both"/>
      </w:pPr>
    </w:p>
    <w:p w14:paraId="7B8CBC50">
      <w:pPr>
        <w:spacing w:line="240" w:lineRule="auto"/>
        <w:ind w:firstLine="640"/>
        <w:jc w:val="both"/>
      </w:pPr>
    </w:p>
    <w:p w14:paraId="682460E7">
      <w:pPr>
        <w:spacing w:line="240" w:lineRule="auto"/>
        <w:ind w:firstLine="640"/>
        <w:jc w:val="both"/>
      </w:pPr>
    </w:p>
    <w:p w14:paraId="17D1562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96593E"/>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4549</Words>
  <Characters>5151</Characters>
  <Lines>0</Lines>
  <Paragraphs>0</Paragraphs>
  <TotalTime>2</TotalTime>
  <ScaleCrop>false</ScaleCrop>
  <LinksUpToDate>false</LinksUpToDate>
  <CharactersWithSpaces>5159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2025-09-23T11:08:43Z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