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90A1E3"/>
    <w:p w14:paraId="5B6FA477">
      <w:pPr>
        <w:spacing w:line="540" w:lineRule="exact"/>
        <w:jc w:val="center"/>
        <w:rPr>
          <w:rFonts w:hint="default" w:ascii="Times New Roman" w:hAnsi="Times New Roman" w:eastAsia="华文中宋" w:cs="Times New Roman"/>
          <w:b/>
          <w:kern w:val="0"/>
          <w:sz w:val="52"/>
          <w:szCs w:val="52"/>
          <w:highlight w:val="none"/>
        </w:rPr>
      </w:pPr>
    </w:p>
    <w:p w14:paraId="5E0044FC">
      <w:pPr>
        <w:spacing w:line="540" w:lineRule="exact"/>
        <w:rPr>
          <w:rFonts w:hint="default" w:ascii="Times New Roman" w:hAnsi="Times New Roman" w:eastAsia="华文中宋" w:cs="Times New Roman"/>
          <w:b/>
          <w:kern w:val="0"/>
          <w:sz w:val="52"/>
          <w:szCs w:val="52"/>
          <w:highlight w:val="none"/>
        </w:rPr>
      </w:pPr>
    </w:p>
    <w:p w14:paraId="6F54F144">
      <w:pPr>
        <w:spacing w:line="540" w:lineRule="exact"/>
        <w:jc w:val="center"/>
        <w:rPr>
          <w:rFonts w:hint="default" w:ascii="Times New Roman" w:hAnsi="Times New Roman" w:eastAsia="华文中宋" w:cs="Times New Roman"/>
          <w:b/>
          <w:kern w:val="0"/>
          <w:sz w:val="52"/>
          <w:szCs w:val="52"/>
          <w:highlight w:val="none"/>
        </w:rPr>
      </w:pPr>
    </w:p>
    <w:p w14:paraId="15B3AD37">
      <w:pPr>
        <w:spacing w:line="540" w:lineRule="exact"/>
        <w:jc w:val="center"/>
        <w:rPr>
          <w:rFonts w:hint="default" w:ascii="Times New Roman" w:hAnsi="Times New Roman" w:eastAsia="华文中宋" w:cs="Times New Roman"/>
          <w:b/>
          <w:kern w:val="0"/>
          <w:sz w:val="52"/>
          <w:szCs w:val="52"/>
          <w:highlight w:val="none"/>
        </w:rPr>
      </w:pPr>
    </w:p>
    <w:p w14:paraId="63860069">
      <w:pPr>
        <w:spacing w:line="540" w:lineRule="exact"/>
        <w:jc w:val="center"/>
        <w:rPr>
          <w:rFonts w:hint="default" w:ascii="Times New Roman" w:hAnsi="Times New Roman" w:eastAsia="方正小标宋_GBK" w:cs="Times New Roman"/>
          <w:kern w:val="0"/>
          <w:sz w:val="48"/>
          <w:szCs w:val="48"/>
          <w:highlight w:val="none"/>
        </w:rPr>
      </w:pPr>
      <w:r>
        <w:rPr>
          <w:rFonts w:hint="eastAsia" w:eastAsia="方正小标宋_GBK" w:cs="Times New Roman"/>
          <w:kern w:val="0"/>
          <w:sz w:val="48"/>
          <w:szCs w:val="48"/>
          <w:highlight w:val="none"/>
          <w:lang w:val="en-US" w:eastAsia="zh-CN"/>
        </w:rPr>
        <w:t>博湖县妇女儿童工作经费</w:t>
      </w:r>
      <w:r>
        <w:rPr>
          <w:rFonts w:hint="default" w:ascii="Times New Roman" w:hAnsi="Times New Roman" w:eastAsia="方正小标宋_GBK" w:cs="Times New Roman"/>
          <w:kern w:val="0"/>
          <w:sz w:val="48"/>
          <w:szCs w:val="48"/>
          <w:highlight w:val="none"/>
        </w:rPr>
        <w:t>项目支出绩效评价报告</w:t>
      </w:r>
    </w:p>
    <w:p w14:paraId="34376DB4">
      <w:pPr>
        <w:spacing w:line="540" w:lineRule="exact"/>
        <w:jc w:val="center"/>
        <w:rPr>
          <w:rFonts w:hint="default" w:ascii="Times New Roman" w:hAnsi="Times New Roman" w:eastAsia="华文中宋" w:cs="Times New Roman"/>
          <w:b/>
          <w:kern w:val="0"/>
          <w:sz w:val="52"/>
          <w:szCs w:val="52"/>
          <w:highlight w:val="none"/>
        </w:rPr>
      </w:pPr>
    </w:p>
    <w:p w14:paraId="3AFACDC9">
      <w:pPr>
        <w:spacing w:line="540" w:lineRule="exact"/>
        <w:jc w:val="center"/>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（202</w:t>
      </w:r>
      <w:r>
        <w:rPr>
          <w:rFonts w:hint="default" w:ascii="Times New Roman" w:hAnsi="Times New Roman" w:eastAsia="仿宋_GB2312" w:cs="Times New Roman"/>
          <w:kern w:val="0"/>
          <w:sz w:val="36"/>
          <w:szCs w:val="36"/>
          <w:highlight w:val="none"/>
          <w:lang w:val="en-US" w:eastAsia="zh-CN"/>
        </w:rPr>
        <w:t>4</w:t>
      </w:r>
      <w:r>
        <w:rPr>
          <w:rFonts w:hint="default" w:ascii="Times New Roman" w:hAnsi="Times New Roman" w:eastAsia="仿宋_GB2312" w:cs="Times New Roman"/>
          <w:kern w:val="0"/>
          <w:sz w:val="36"/>
          <w:szCs w:val="36"/>
          <w:highlight w:val="none"/>
        </w:rPr>
        <w:t>年度）</w:t>
      </w:r>
    </w:p>
    <w:p w14:paraId="4316010A">
      <w:pPr>
        <w:spacing w:line="540" w:lineRule="exact"/>
        <w:jc w:val="center"/>
        <w:rPr>
          <w:rFonts w:hint="default" w:ascii="Times New Roman" w:hAnsi="Times New Roman" w:eastAsia="仿宋_GB2312" w:cs="Times New Roman"/>
          <w:kern w:val="0"/>
          <w:sz w:val="30"/>
          <w:szCs w:val="30"/>
          <w:highlight w:val="none"/>
        </w:rPr>
      </w:pPr>
    </w:p>
    <w:p w14:paraId="63442A1C">
      <w:pPr>
        <w:spacing w:line="540" w:lineRule="exact"/>
        <w:jc w:val="center"/>
        <w:rPr>
          <w:rFonts w:hint="default" w:ascii="Times New Roman" w:hAnsi="Times New Roman" w:eastAsia="仿宋_GB2312" w:cs="Times New Roman"/>
          <w:kern w:val="0"/>
          <w:sz w:val="30"/>
          <w:szCs w:val="30"/>
          <w:highlight w:val="none"/>
        </w:rPr>
      </w:pPr>
    </w:p>
    <w:p w14:paraId="190039E0">
      <w:pPr>
        <w:spacing w:line="540" w:lineRule="exact"/>
        <w:jc w:val="center"/>
        <w:rPr>
          <w:rFonts w:hint="default" w:ascii="Times New Roman" w:hAnsi="Times New Roman" w:eastAsia="仿宋_GB2312" w:cs="Times New Roman"/>
          <w:kern w:val="0"/>
          <w:sz w:val="30"/>
          <w:szCs w:val="30"/>
          <w:highlight w:val="none"/>
        </w:rPr>
      </w:pPr>
    </w:p>
    <w:p w14:paraId="4BCAD58B">
      <w:pPr>
        <w:pStyle w:val="9"/>
        <w:rPr>
          <w:rFonts w:hint="default" w:ascii="Times New Roman" w:hAnsi="Times New Roman" w:cs="Times New Roman"/>
          <w:highlight w:val="none"/>
        </w:rPr>
      </w:pPr>
    </w:p>
    <w:p w14:paraId="119B63AA">
      <w:pPr>
        <w:spacing w:line="540" w:lineRule="exact"/>
        <w:jc w:val="center"/>
        <w:rPr>
          <w:rFonts w:hint="default" w:ascii="Times New Roman" w:hAnsi="Times New Roman" w:eastAsia="仿宋_GB2312" w:cs="Times New Roman"/>
          <w:kern w:val="0"/>
          <w:sz w:val="30"/>
          <w:szCs w:val="30"/>
          <w:highlight w:val="none"/>
        </w:rPr>
      </w:pPr>
    </w:p>
    <w:p w14:paraId="6A0489FB">
      <w:pPr>
        <w:spacing w:line="540" w:lineRule="exact"/>
        <w:rPr>
          <w:rFonts w:hint="default" w:ascii="Times New Roman" w:hAnsi="Times New Roman" w:eastAsia="仿宋_GB2312" w:cs="Times New Roman"/>
          <w:kern w:val="0"/>
          <w:sz w:val="30"/>
          <w:szCs w:val="30"/>
          <w:highlight w:val="none"/>
        </w:rPr>
      </w:pPr>
    </w:p>
    <w:p w14:paraId="273DEEC8">
      <w:pPr>
        <w:spacing w:line="700" w:lineRule="exact"/>
        <w:ind w:firstLine="1440" w:firstLineChars="400"/>
        <w:jc w:val="left"/>
        <w:rPr>
          <w:rFonts w:hint="default" w:ascii="Times New Roman" w:hAnsi="Times New Roman" w:eastAsia="仿宋_GB2312" w:cs="Times New Roman"/>
          <w:kern w:val="0"/>
          <w:sz w:val="36"/>
          <w:szCs w:val="36"/>
          <w:highlight w:val="none"/>
          <w:lang w:val="en-US" w:eastAsia="zh-CN"/>
        </w:rPr>
      </w:pPr>
      <w:r>
        <w:rPr>
          <w:rFonts w:hint="default" w:ascii="Times New Roman" w:hAnsi="Times New Roman" w:eastAsia="仿宋_GB2312" w:cs="Times New Roman"/>
          <w:kern w:val="0"/>
          <w:sz w:val="36"/>
          <w:szCs w:val="36"/>
          <w:highlight w:val="none"/>
        </w:rPr>
        <w:t>项目名称：</w:t>
      </w:r>
      <w:r>
        <w:rPr>
          <w:rFonts w:hint="eastAsia" w:eastAsia="仿宋_GB2312" w:cs="Times New Roman"/>
          <w:kern w:val="0"/>
          <w:sz w:val="36"/>
          <w:szCs w:val="36"/>
          <w:highlight w:val="none"/>
          <w:lang w:val="en-US" w:eastAsia="zh-CN"/>
        </w:rPr>
        <w:t>博湖县妇女儿童工作经费项目</w:t>
      </w:r>
    </w:p>
    <w:p w14:paraId="1E871778">
      <w:pPr>
        <w:spacing w:line="700" w:lineRule="exact"/>
        <w:ind w:firstLine="1440" w:firstLineChars="400"/>
        <w:jc w:val="left"/>
        <w:rPr>
          <w:rFonts w:hint="default" w:ascii="Times New Roman" w:hAnsi="Times New Roman" w:eastAsia="仿宋_GB2312" w:cs="Times New Roman"/>
          <w:kern w:val="0"/>
          <w:sz w:val="36"/>
          <w:szCs w:val="36"/>
          <w:highlight w:val="none"/>
          <w:lang w:val="en-US" w:eastAsia="zh-CN"/>
        </w:rPr>
      </w:pPr>
      <w:r>
        <w:rPr>
          <w:rFonts w:hint="default" w:ascii="Times New Roman" w:hAnsi="Times New Roman" w:eastAsia="仿宋_GB2312" w:cs="Times New Roman"/>
          <w:kern w:val="0"/>
          <w:sz w:val="36"/>
          <w:szCs w:val="36"/>
          <w:highlight w:val="none"/>
        </w:rPr>
        <w:t>实施单位（公章）：</w:t>
      </w:r>
      <w:r>
        <w:rPr>
          <w:rFonts w:hint="eastAsia" w:eastAsia="仿宋_GB2312" w:cs="Times New Roman"/>
          <w:kern w:val="0"/>
          <w:sz w:val="36"/>
          <w:szCs w:val="36"/>
          <w:highlight w:val="none"/>
          <w:lang w:val="en-US" w:eastAsia="zh-CN"/>
        </w:rPr>
        <w:t>博湖县妇女联合会</w:t>
      </w:r>
    </w:p>
    <w:p w14:paraId="33F254B1">
      <w:pPr>
        <w:spacing w:line="700" w:lineRule="exact"/>
        <w:ind w:firstLine="1440" w:firstLineChars="400"/>
        <w:jc w:val="left"/>
        <w:rPr>
          <w:rFonts w:hint="default" w:ascii="Times New Roman" w:hAnsi="Times New Roman" w:eastAsia="仿宋_GB2312" w:cs="Times New Roman"/>
          <w:kern w:val="0"/>
          <w:sz w:val="36"/>
          <w:szCs w:val="36"/>
          <w:highlight w:val="none"/>
          <w:lang w:val="en-US" w:eastAsia="zh-CN"/>
        </w:rPr>
      </w:pPr>
      <w:r>
        <w:rPr>
          <w:rFonts w:hint="default" w:ascii="Times New Roman" w:hAnsi="Times New Roman" w:eastAsia="仿宋_GB2312" w:cs="Times New Roman"/>
          <w:kern w:val="0"/>
          <w:sz w:val="36"/>
          <w:szCs w:val="36"/>
          <w:highlight w:val="none"/>
        </w:rPr>
        <w:t>主管部门（公章）：</w:t>
      </w:r>
      <w:r>
        <w:rPr>
          <w:rFonts w:hint="eastAsia" w:eastAsia="仿宋_GB2312" w:cs="Times New Roman"/>
          <w:kern w:val="0"/>
          <w:sz w:val="36"/>
          <w:szCs w:val="36"/>
          <w:highlight w:val="none"/>
          <w:lang w:val="en-US" w:eastAsia="zh-CN"/>
        </w:rPr>
        <w:t>博湖县妇女联合会</w:t>
      </w:r>
    </w:p>
    <w:p w14:paraId="1B615A0B">
      <w:pPr>
        <w:spacing w:line="700" w:lineRule="exact"/>
        <w:ind w:firstLine="1440" w:firstLineChars="400"/>
        <w:jc w:val="left"/>
        <w:rPr>
          <w:rFonts w:hint="eastAsia" w:ascii="Times New Roman" w:hAnsi="Times New Roman" w:eastAsia="仿宋_GB2312" w:cs="Times New Roman"/>
          <w:kern w:val="0"/>
          <w:sz w:val="36"/>
          <w:szCs w:val="36"/>
          <w:highlight w:val="none"/>
          <w:lang w:eastAsia="zh-CN"/>
        </w:rPr>
      </w:pPr>
      <w:r>
        <w:rPr>
          <w:rFonts w:hint="default" w:ascii="Times New Roman" w:hAnsi="Times New Roman" w:eastAsia="仿宋_GB2312" w:cs="Times New Roman"/>
          <w:kern w:val="0"/>
          <w:sz w:val="36"/>
          <w:szCs w:val="36"/>
          <w:highlight w:val="none"/>
        </w:rPr>
        <w:t>项目负责人（签章）：</w:t>
      </w:r>
      <w:r>
        <w:rPr>
          <w:rFonts w:hint="eastAsia" w:eastAsia="仿宋_GB2312" w:cs="Times New Roman"/>
          <w:kern w:val="0"/>
          <w:sz w:val="36"/>
          <w:szCs w:val="36"/>
          <w:highlight w:val="none"/>
          <w:lang w:val="en-US" w:eastAsia="zh-CN"/>
        </w:rPr>
        <w:t>王心莹</w:t>
      </w:r>
    </w:p>
    <w:p w14:paraId="297034B3">
      <w:pPr>
        <w:spacing w:line="700" w:lineRule="exact"/>
        <w:ind w:firstLine="1440" w:firstLineChars="40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填报时间：</w:t>
      </w:r>
      <w:r>
        <w:rPr>
          <w:rFonts w:hint="eastAsia" w:eastAsia="仿宋_GB2312" w:cs="Times New Roman"/>
          <w:kern w:val="0"/>
          <w:sz w:val="36"/>
          <w:szCs w:val="36"/>
          <w:highlight w:val="none"/>
          <w:lang w:val="en-US" w:eastAsia="zh-CN"/>
        </w:rPr>
        <w:t>2024</w:t>
      </w:r>
      <w:r>
        <w:rPr>
          <w:rFonts w:hint="default" w:ascii="Times New Roman" w:hAnsi="Times New Roman" w:eastAsia="仿宋_GB2312" w:cs="Times New Roman"/>
          <w:kern w:val="0"/>
          <w:sz w:val="36"/>
          <w:szCs w:val="36"/>
          <w:highlight w:val="none"/>
        </w:rPr>
        <w:t>年</w:t>
      </w:r>
      <w:r>
        <w:rPr>
          <w:rFonts w:hint="eastAsia" w:eastAsia="仿宋_GB2312" w:cs="Times New Roman"/>
          <w:kern w:val="0"/>
          <w:sz w:val="36"/>
          <w:szCs w:val="36"/>
          <w:highlight w:val="none"/>
          <w:lang w:val="en-US" w:eastAsia="zh-CN"/>
        </w:rPr>
        <w:t>4</w:t>
      </w:r>
      <w:r>
        <w:rPr>
          <w:rFonts w:hint="default" w:ascii="Times New Roman" w:hAnsi="Times New Roman" w:eastAsia="仿宋_GB2312" w:cs="Times New Roman"/>
          <w:kern w:val="0"/>
          <w:sz w:val="36"/>
          <w:szCs w:val="36"/>
          <w:highlight w:val="none"/>
        </w:rPr>
        <w:t>月</w:t>
      </w:r>
      <w:r>
        <w:rPr>
          <w:rFonts w:hint="eastAsia" w:eastAsia="仿宋_GB2312" w:cs="Times New Roman"/>
          <w:kern w:val="0"/>
          <w:sz w:val="36"/>
          <w:szCs w:val="36"/>
          <w:highlight w:val="none"/>
          <w:lang w:val="en-US" w:eastAsia="zh-CN"/>
        </w:rPr>
        <w:t>29</w:t>
      </w:r>
      <w:r>
        <w:rPr>
          <w:rFonts w:hint="default" w:ascii="Times New Roman" w:hAnsi="Times New Roman" w:eastAsia="仿宋_GB2312" w:cs="Times New Roman"/>
          <w:kern w:val="0"/>
          <w:sz w:val="36"/>
          <w:szCs w:val="36"/>
          <w:highlight w:val="none"/>
        </w:rPr>
        <w:t>日</w:t>
      </w:r>
    </w:p>
    <w:p w14:paraId="02EA4A7D">
      <w:pPr>
        <w:spacing w:line="540" w:lineRule="exact"/>
        <w:jc w:val="center"/>
        <w:rPr>
          <w:rFonts w:hint="default" w:ascii="Times New Roman" w:hAnsi="Times New Roman" w:eastAsia="仿宋_GB2312" w:cs="Times New Roman"/>
          <w:kern w:val="0"/>
          <w:sz w:val="30"/>
          <w:szCs w:val="30"/>
          <w:highlight w:val="none"/>
        </w:rPr>
      </w:pPr>
    </w:p>
    <w:p w14:paraId="741F1D27">
      <w:pPr>
        <w:spacing w:line="540" w:lineRule="exact"/>
        <w:rPr>
          <w:rStyle w:val="15"/>
          <w:rFonts w:hint="default" w:ascii="Times New Roman" w:hAnsi="Times New Roman" w:eastAsia="黑体" w:cs="Times New Roman"/>
          <w:b w:val="0"/>
          <w:spacing w:val="-4"/>
          <w:sz w:val="32"/>
          <w:szCs w:val="32"/>
          <w:highlight w:val="none"/>
        </w:rPr>
      </w:pPr>
    </w:p>
    <w:p w14:paraId="461EBADF">
      <w:pPr>
        <w:spacing w:line="540" w:lineRule="exact"/>
        <w:ind w:firstLine="640"/>
        <w:rPr>
          <w:rStyle w:val="15"/>
          <w:rFonts w:hint="default" w:ascii="Times New Roman" w:hAnsi="Times New Roman" w:eastAsia="黑体" w:cs="Times New Roman"/>
          <w:b w:val="0"/>
          <w:spacing w:val="-4"/>
          <w:sz w:val="32"/>
          <w:szCs w:val="32"/>
          <w:highlight w:val="none"/>
        </w:rPr>
      </w:pPr>
    </w:p>
    <w:p w14:paraId="53A3C67E">
      <w:pPr>
        <w:spacing w:line="540" w:lineRule="exact"/>
        <w:rPr>
          <w:rStyle w:val="15"/>
          <w:rFonts w:hint="default" w:ascii="Times New Roman" w:hAnsi="Times New Roman" w:eastAsia="黑体" w:cs="Times New Roman"/>
          <w:b w:val="0"/>
          <w:spacing w:val="-4"/>
          <w:sz w:val="32"/>
          <w:szCs w:val="32"/>
          <w:highlight w:val="none"/>
        </w:rPr>
      </w:pPr>
    </w:p>
    <w:p w14:paraId="08B4D8ED">
      <w:pPr>
        <w:spacing w:line="560" w:lineRule="exact"/>
        <w:ind w:firstLine="640" w:firstLineChars="200"/>
        <w:rPr>
          <w:rFonts w:hint="default" w:ascii="Times New Roman" w:hAnsi="Times New Roman" w:eastAsia="黑体" w:cs="Times New Roman"/>
          <w:bCs/>
          <w:sz w:val="32"/>
          <w:szCs w:val="32"/>
          <w:highlight w:val="none"/>
        </w:rPr>
        <w:sectPr>
          <w:pgSz w:w="11906" w:h="16838"/>
          <w:pgMar w:top="1440" w:right="1558" w:bottom="1440" w:left="1800" w:header="851" w:footer="992" w:gutter="0"/>
          <w:cols w:space="425" w:num="1"/>
          <w:docGrid w:type="lines" w:linePitch="312" w:charSpace="0"/>
        </w:sectPr>
      </w:pPr>
    </w:p>
    <w:p w14:paraId="3DA68213">
      <w:pPr>
        <w:spacing w:line="560" w:lineRule="exact"/>
        <w:ind w:firstLine="640" w:firstLineChars="200"/>
        <w:rPr>
          <w:rFonts w:hint="default" w:ascii="Times New Roman" w:hAnsi="Times New Roman" w:eastAsia="黑体" w:cs="Times New Roman"/>
          <w:bCs/>
          <w:sz w:val="32"/>
          <w:szCs w:val="32"/>
          <w:highlight w:val="none"/>
        </w:rPr>
      </w:pPr>
      <w:r>
        <w:rPr>
          <w:rFonts w:hint="default" w:ascii="Times New Roman" w:hAnsi="Times New Roman" w:eastAsia="黑体" w:cs="Times New Roman"/>
          <w:bCs/>
          <w:sz w:val="32"/>
          <w:szCs w:val="32"/>
          <w:highlight w:val="none"/>
        </w:rPr>
        <w:t>一、基本情况</w:t>
      </w:r>
    </w:p>
    <w:p w14:paraId="5388A7BC">
      <w:pPr>
        <w:spacing w:line="560" w:lineRule="exact"/>
        <w:ind w:firstLine="643" w:firstLineChars="200"/>
        <w:rPr>
          <w:rFonts w:hint="default" w:ascii="Times New Roman" w:hAnsi="Times New Roman" w:eastAsia="楷体_GB2312" w:cs="Times New Roman"/>
          <w:b/>
          <w:bCs/>
          <w:sz w:val="32"/>
          <w:szCs w:val="32"/>
          <w:highlight w:val="none"/>
        </w:rPr>
      </w:pPr>
      <w:bookmarkStart w:id="0" w:name="OLE_LINK19"/>
      <w:r>
        <w:rPr>
          <w:rFonts w:hint="default" w:ascii="Times New Roman" w:hAnsi="Times New Roman" w:eastAsia="楷体_GB2312" w:cs="Times New Roman"/>
          <w:b/>
          <w:bCs/>
          <w:sz w:val="32"/>
          <w:szCs w:val="32"/>
          <w:highlight w:val="none"/>
        </w:rPr>
        <w:t>（一）项目概况</w:t>
      </w:r>
    </w:p>
    <w:p w14:paraId="3C5278B3">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项目背景</w:t>
      </w:r>
    </w:p>
    <w:p w14:paraId="13A33FC8">
      <w:pPr>
        <w:pStyle w:val="9"/>
        <w:numPr>
          <w:ilvl w:val="0"/>
          <w:numId w:val="0"/>
        </w:numPr>
        <w:spacing w:before="0" w:after="0" w:line="560" w:lineRule="exact"/>
        <w:ind w:firstLine="643" w:firstLineChars="200"/>
        <w:jc w:val="both"/>
        <w:rPr>
          <w:rFonts w:hint="default" w:ascii="Times New Roman" w:hAnsi="Times New Roman" w:eastAsia="仿宋_GB2312" w:cs="Times New Roman"/>
          <w:kern w:val="2"/>
          <w:highlight w:val="none"/>
          <w:lang w:val="en-US" w:eastAsia="zh-CN"/>
        </w:rPr>
      </w:pPr>
      <w:bookmarkStart w:id="1" w:name="OLE_LINK18"/>
      <w:r>
        <w:rPr>
          <w:rFonts w:hint="eastAsia" w:ascii="Times New Roman" w:hAnsi="Times New Roman" w:eastAsia="仿宋_GB2312" w:cs="Times New Roman"/>
          <w:kern w:val="2"/>
          <w:highlight w:val="none"/>
          <w:lang w:val="en-US" w:eastAsia="zh-CN"/>
        </w:rPr>
        <w:t>妇女和儿童是国家未来的希望，也是家庭中的中坚力量，党和国家高度重视妇女事业发展，持续推动妇女事业与经济社会协调发展。</w:t>
      </w:r>
      <w:bookmarkStart w:id="2" w:name="OLE_LINK13"/>
      <w:r>
        <w:rPr>
          <w:rFonts w:hint="eastAsia" w:ascii="Times New Roman" w:hAnsi="Times New Roman" w:eastAsia="仿宋_GB2312" w:cs="Times New Roman"/>
          <w:kern w:val="2"/>
          <w:highlight w:val="none"/>
          <w:lang w:val="en-US" w:eastAsia="zh-CN"/>
        </w:rPr>
        <w:t>根据博湖县人民政府《关于印发</w:t>
      </w:r>
      <w:bookmarkStart w:id="3" w:name="OLE_LINK12"/>
      <w:r>
        <w:rPr>
          <w:rFonts w:hint="eastAsia" w:ascii="仿宋_GB2312" w:hAnsi="仿宋_GB2312" w:eastAsia="仿宋_GB2312" w:cs="仿宋_GB2312"/>
          <w:kern w:val="2"/>
          <w:highlight w:val="none"/>
          <w:lang w:val="en-US" w:eastAsia="zh-CN"/>
        </w:rPr>
        <w:t>&lt;</w:t>
      </w:r>
      <w:r>
        <w:rPr>
          <w:rFonts w:hint="eastAsia" w:ascii="Times New Roman" w:hAnsi="Times New Roman" w:eastAsia="仿宋_GB2312" w:cs="Times New Roman"/>
          <w:kern w:val="2"/>
          <w:highlight w:val="none"/>
          <w:lang w:val="en-US" w:eastAsia="zh-CN"/>
        </w:rPr>
        <w:t>博湖县妇女发展规划</w:t>
      </w:r>
      <w:r>
        <w:rPr>
          <w:rFonts w:hint="eastAsia" w:ascii="仿宋_GB2312" w:hAnsi="仿宋_GB2312" w:eastAsia="仿宋_GB2312" w:cs="仿宋_GB2312"/>
          <w:kern w:val="2"/>
          <w:highlight w:val="none"/>
          <w:lang w:val="en-US" w:eastAsia="zh-CN"/>
        </w:rPr>
        <w:t>&gt;</w:t>
      </w:r>
      <w:bookmarkEnd w:id="3"/>
      <w:r>
        <w:rPr>
          <w:rFonts w:hint="eastAsia" w:ascii="仿宋_GB2312" w:hAnsi="仿宋_GB2312" w:eastAsia="仿宋_GB2312" w:cs="仿宋_GB2312"/>
          <w:kern w:val="2"/>
          <w:highlight w:val="none"/>
          <w:lang w:val="en-US" w:eastAsia="zh-CN"/>
        </w:rPr>
        <w:t>和&lt;</w:t>
      </w:r>
      <w:r>
        <w:rPr>
          <w:rFonts w:hint="eastAsia" w:ascii="Times New Roman" w:hAnsi="Times New Roman" w:eastAsia="仿宋_GB2312" w:cs="Times New Roman"/>
          <w:kern w:val="2"/>
          <w:highlight w:val="none"/>
          <w:lang w:val="en-US" w:eastAsia="zh-CN"/>
        </w:rPr>
        <w:t>博湖县儿童发展规划（2021-2025年）</w:t>
      </w:r>
      <w:r>
        <w:rPr>
          <w:rFonts w:hint="eastAsia" w:ascii="仿宋_GB2312" w:hAnsi="仿宋_GB2312" w:eastAsia="仿宋_GB2312" w:cs="仿宋_GB2312"/>
          <w:kern w:val="2"/>
          <w:highlight w:val="none"/>
          <w:lang w:val="en-US" w:eastAsia="zh-CN"/>
        </w:rPr>
        <w:t>&gt;的通知</w:t>
      </w:r>
      <w:r>
        <w:rPr>
          <w:rFonts w:hint="eastAsia" w:ascii="Times New Roman" w:hAnsi="Times New Roman" w:eastAsia="仿宋_GB2312" w:cs="Times New Roman"/>
          <w:kern w:val="2"/>
          <w:highlight w:val="none"/>
          <w:lang w:val="en-US" w:eastAsia="zh-CN"/>
        </w:rPr>
        <w:t>》（2022）37号文件要求</w:t>
      </w:r>
      <w:bookmarkEnd w:id="2"/>
      <w:r>
        <w:rPr>
          <w:rFonts w:hint="eastAsia" w:ascii="Times New Roman" w:hAnsi="Times New Roman" w:eastAsia="仿宋_GB2312" w:cs="Times New Roman"/>
          <w:kern w:val="2"/>
          <w:highlight w:val="none"/>
          <w:lang w:val="en-US" w:eastAsia="zh-CN"/>
        </w:rPr>
        <w:t>，保障我县妇女儿童在生活质量、文化交流、医疗卫生服务、社会保障等方面全面发展，提高各族妇女参与社会建设的积极性，</w:t>
      </w:r>
      <w:r>
        <w:rPr>
          <w:rFonts w:hint="default" w:ascii="Times New Roman" w:hAnsi="Times New Roman" w:eastAsia="仿宋_GB2312" w:cs="Times New Roman"/>
          <w:kern w:val="2"/>
          <w:highlight w:val="none"/>
          <w:lang w:val="en-US" w:eastAsia="zh-CN"/>
        </w:rPr>
        <w:t>进一步激发广大妇女在新时代新征程上创新、实干、奋斗的热情，加强学用国家通用语言文字，进一步铸牢中华民族共同体意识。</w:t>
      </w:r>
      <w:bookmarkEnd w:id="1"/>
    </w:p>
    <w:p w14:paraId="7DEF1C8D">
      <w:pPr>
        <w:pStyle w:val="9"/>
        <w:numPr>
          <w:ilvl w:val="0"/>
          <w:numId w:val="0"/>
        </w:numPr>
        <w:spacing w:before="0" w:after="0" w:line="560" w:lineRule="exact"/>
        <w:ind w:firstLine="643" w:firstLineChars="200"/>
        <w:jc w:val="both"/>
        <w:rPr>
          <w:rFonts w:hint="default" w:ascii="Times New Roman" w:hAnsi="Times New Roman" w:eastAsia="仿宋_GB2312" w:cs="Times New Roman"/>
          <w:kern w:val="2"/>
          <w:highlight w:val="none"/>
        </w:rPr>
      </w:pPr>
      <w:r>
        <w:rPr>
          <w:rFonts w:hint="default" w:ascii="Times New Roman" w:hAnsi="Times New Roman" w:eastAsia="仿宋_GB2312" w:cs="Times New Roman"/>
          <w:kern w:val="2"/>
          <w:highlight w:val="none"/>
          <w:lang w:val="en-US" w:eastAsia="zh-CN"/>
        </w:rPr>
        <w:t>2.</w:t>
      </w:r>
      <w:r>
        <w:rPr>
          <w:rFonts w:hint="default" w:ascii="Times New Roman" w:hAnsi="Times New Roman" w:eastAsia="仿宋_GB2312" w:cs="Times New Roman"/>
          <w:kern w:val="2"/>
          <w:highlight w:val="none"/>
        </w:rPr>
        <w:t>项目主要内容：</w:t>
      </w:r>
    </w:p>
    <w:p w14:paraId="5742C012">
      <w:pPr>
        <w:spacing w:line="560" w:lineRule="exact"/>
        <w:ind w:firstLine="600" w:firstLineChars="200"/>
        <w:rPr>
          <w:rFonts w:hint="default" w:ascii="Times New Roman" w:hAnsi="Times New Roman" w:eastAsia="黑体" w:cs="Times New Roman"/>
          <w:highlight w:val="none"/>
          <w:lang w:val="en-US" w:eastAsia="zh-CN"/>
        </w:rPr>
      </w:pPr>
      <w:r>
        <w:rPr>
          <w:rFonts w:hint="default" w:ascii="Times New Roman" w:hAnsi="Times New Roman" w:eastAsia="仿宋_GB2312" w:cs="Times New Roman"/>
          <w:sz w:val="30"/>
          <w:szCs w:val="30"/>
          <w:highlight w:val="none"/>
          <w:lang w:val="en-US" w:eastAsia="zh-CN"/>
        </w:rPr>
        <w:t>项目主要内容：参加自治州“三八”活动一次</w:t>
      </w:r>
      <w:r>
        <w:rPr>
          <w:rFonts w:hint="eastAsia" w:eastAsia="仿宋_GB2312" w:cs="Times New Roman"/>
          <w:sz w:val="30"/>
          <w:szCs w:val="30"/>
          <w:highlight w:val="none"/>
          <w:lang w:val="en-US" w:eastAsia="zh-CN"/>
        </w:rPr>
        <w:t>，</w:t>
      </w:r>
      <w:r>
        <w:rPr>
          <w:rFonts w:hint="default" w:ascii="Times New Roman" w:hAnsi="Times New Roman" w:eastAsia="仿宋_GB2312" w:cs="Times New Roman"/>
          <w:sz w:val="30"/>
          <w:szCs w:val="30"/>
          <w:highlight w:val="none"/>
          <w:lang w:val="en-US" w:eastAsia="zh-CN"/>
        </w:rPr>
        <w:t>参加自治州第二届国通语展示大赛一次</w:t>
      </w:r>
      <w:r>
        <w:rPr>
          <w:rFonts w:hint="eastAsia" w:eastAsia="仿宋_GB2312" w:cs="Times New Roman"/>
          <w:sz w:val="30"/>
          <w:szCs w:val="30"/>
          <w:highlight w:val="none"/>
          <w:lang w:val="en-US" w:eastAsia="zh-CN"/>
        </w:rPr>
        <w:t>，</w:t>
      </w:r>
      <w:r>
        <w:rPr>
          <w:rFonts w:hint="default" w:ascii="Times New Roman" w:hAnsi="Times New Roman" w:eastAsia="仿宋_GB2312" w:cs="Times New Roman"/>
          <w:sz w:val="30"/>
          <w:szCs w:val="30"/>
          <w:highlight w:val="none"/>
          <w:lang w:val="en-US" w:eastAsia="zh-CN"/>
        </w:rPr>
        <w:t>保障164.98平方米办公区域的正常供暖，</w:t>
      </w:r>
      <w:r>
        <w:rPr>
          <w:rFonts w:hint="eastAsia" w:eastAsia="仿宋_GB2312" w:cs="Times New Roman"/>
          <w:sz w:val="30"/>
          <w:szCs w:val="30"/>
          <w:highlight w:val="none"/>
          <w:lang w:val="en-US" w:eastAsia="zh-CN"/>
        </w:rPr>
        <w:t>保障单位的运行，更好地服务各族妇女。</w:t>
      </w:r>
    </w:p>
    <w:p w14:paraId="1C86302C">
      <w:pPr>
        <w:spacing w:line="560" w:lineRule="exact"/>
        <w:ind w:firstLine="640" w:firstLineChars="200"/>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项目实施情况：</w:t>
      </w:r>
      <w:r>
        <w:rPr>
          <w:rFonts w:hint="eastAsia" w:eastAsia="仿宋_GB2312" w:cs="Times New Roman"/>
          <w:sz w:val="32"/>
          <w:szCs w:val="32"/>
          <w:highlight w:val="none"/>
          <w:lang w:val="en-US" w:eastAsia="zh-CN"/>
        </w:rPr>
        <w:t>选送26人参加为期一天的自治州“三八”活动，组织12人参加为期一天的自治州第二届国通语展示大赛，保障供暖面积105.21平方米，提高了妇女参与社会建设的积极性。</w:t>
      </w:r>
    </w:p>
    <w:p w14:paraId="6FF62B43">
      <w:pPr>
        <w:spacing w:line="560" w:lineRule="exact"/>
        <w:ind w:firstLine="643" w:firstLineChars="200"/>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资金投入和使用情况</w:t>
      </w:r>
    </w:p>
    <w:p w14:paraId="655BBA65">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14:paraId="4AA3FE6F">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1.94</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1.94</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eastAsia="仿宋_GB2312" w:cs="Times New Roman"/>
          <w:color w:val="auto"/>
          <w:sz w:val="32"/>
          <w:szCs w:val="32"/>
          <w:highlight w:val="none"/>
          <w:lang w:val="en-US" w:eastAsia="zh-CN"/>
        </w:rPr>
        <w:t>财政拨款</w:t>
      </w:r>
      <w:r>
        <w:rPr>
          <w:rFonts w:hint="default" w:ascii="Times New Roman" w:hAnsi="Times New Roman" w:eastAsia="仿宋_GB2312" w:cs="Times New Roman"/>
          <w:sz w:val="32"/>
          <w:szCs w:val="32"/>
          <w:highlight w:val="none"/>
          <w:lang w:val="en-US" w:eastAsia="zh-CN"/>
        </w:rPr>
        <w:t>。</w:t>
      </w:r>
    </w:p>
    <w:p w14:paraId="66E17643">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14:paraId="4F70B23D">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1.94</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1.94</w:t>
      </w:r>
      <w:r>
        <w:rPr>
          <w:rFonts w:hint="default" w:ascii="Times New Roman" w:hAnsi="Times New Roman" w:eastAsia="仿宋_GB2312" w:cs="Times New Roman"/>
          <w:sz w:val="32"/>
          <w:szCs w:val="32"/>
          <w:highlight w:val="none"/>
          <w:lang w:val="en-US" w:eastAsia="zh-CN"/>
        </w:rPr>
        <w:t>万元，全年执行数</w:t>
      </w:r>
      <w:r>
        <w:rPr>
          <w:rFonts w:hint="eastAsia" w:eastAsia="仿宋_GB2312" w:cs="Times New Roman"/>
          <w:sz w:val="32"/>
          <w:szCs w:val="32"/>
          <w:highlight w:val="none"/>
          <w:lang w:val="en-US" w:eastAsia="zh-CN"/>
        </w:rPr>
        <w:t>1.94</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w:t>
      </w:r>
      <w:r>
        <w:rPr>
          <w:rFonts w:hint="eastAsia" w:eastAsia="仿宋_GB2312" w:cs="Times New Roman"/>
          <w:sz w:val="32"/>
          <w:szCs w:val="32"/>
          <w:highlight w:val="none"/>
          <w:lang w:val="en-US" w:eastAsia="zh-CN"/>
        </w:rPr>
        <w:t>参加自治州“三八”活动一次1.5万元，参加自治州第二届国通语展示大赛一次0.22万元，</w:t>
      </w:r>
      <w:r>
        <w:rPr>
          <w:rFonts w:hint="default" w:ascii="Times New Roman" w:hAnsi="Times New Roman" w:eastAsia="仿宋_GB2312" w:cs="Times New Roman"/>
          <w:sz w:val="32"/>
          <w:szCs w:val="32"/>
          <w:highlight w:val="none"/>
          <w:lang w:val="en-US" w:eastAsia="zh-CN"/>
        </w:rPr>
        <w:t>办公楼采暖</w:t>
      </w:r>
      <w:r>
        <w:rPr>
          <w:rFonts w:hint="eastAsia" w:eastAsia="仿宋_GB2312" w:cs="Times New Roman"/>
          <w:sz w:val="32"/>
          <w:szCs w:val="32"/>
          <w:highlight w:val="none"/>
          <w:lang w:val="en-US" w:eastAsia="zh-CN"/>
        </w:rPr>
        <w:t>费105.21</w:t>
      </w:r>
      <w:r>
        <w:rPr>
          <w:rFonts w:hint="default" w:ascii="Times New Roman" w:hAnsi="Times New Roman" w:eastAsia="仿宋_GB2312" w:cs="Times New Roman"/>
          <w:sz w:val="32"/>
          <w:szCs w:val="32"/>
          <w:highlight w:val="none"/>
          <w:lang w:val="en-US" w:eastAsia="zh-CN"/>
        </w:rPr>
        <w:t>平方米</w:t>
      </w:r>
      <w:r>
        <w:rPr>
          <w:rFonts w:hint="eastAsia" w:eastAsia="仿宋_GB2312" w:cs="Times New Roman"/>
          <w:sz w:val="32"/>
          <w:szCs w:val="32"/>
          <w:highlight w:val="none"/>
          <w:lang w:val="en-US" w:eastAsia="zh-CN"/>
        </w:rPr>
        <w:t>0.22万元</w:t>
      </w:r>
      <w:r>
        <w:rPr>
          <w:rFonts w:hint="default" w:ascii="Times New Roman" w:hAnsi="Times New Roman" w:eastAsia="仿宋_GB2312" w:cs="Times New Roman"/>
          <w:sz w:val="32"/>
          <w:szCs w:val="32"/>
          <w:highlight w:val="none"/>
          <w:lang w:val="en-US" w:eastAsia="zh-CN"/>
        </w:rPr>
        <w:t>。</w:t>
      </w:r>
      <w:bookmarkEnd w:id="0"/>
    </w:p>
    <w:p w14:paraId="7CA12491">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（二）项目绩效目标</w:t>
      </w:r>
    </w:p>
    <w:p w14:paraId="6ED8DD1C">
      <w:pPr>
        <w:spacing w:line="560" w:lineRule="exact"/>
        <w:ind w:firstLine="640" w:firstLineChars="200"/>
        <w:rPr>
          <w:rFonts w:hint="default" w:ascii="Times New Roman" w:hAnsi="Times New Roman" w:eastAsia="仿宋_GB2312" w:cs="Times New Roman"/>
          <w:sz w:val="32"/>
          <w:szCs w:val="32"/>
          <w:highlight w:val="none"/>
        </w:rPr>
      </w:pPr>
      <w:bookmarkStart w:id="4" w:name="OLE_LINK20"/>
      <w:r>
        <w:rPr>
          <w:rFonts w:hint="default" w:ascii="Times New Roman" w:hAnsi="Times New Roman" w:eastAsia="仿宋_GB2312" w:cs="Times New Roman"/>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总体目标</w:t>
      </w:r>
    </w:p>
    <w:p w14:paraId="33AC20D3">
      <w:pPr>
        <w:spacing w:line="560" w:lineRule="exact"/>
        <w:ind w:firstLine="640" w:firstLineChars="200"/>
        <w:rPr>
          <w:rFonts w:hint="default" w:ascii="Times New Roman" w:hAnsi="Times New Roman" w:eastAsia="仿宋_GB2312" w:cs="Times New Roman"/>
          <w:color w:val="FF0000"/>
          <w:sz w:val="30"/>
          <w:szCs w:val="30"/>
          <w:highlight w:val="none"/>
          <w:lang w:val="en-US" w:eastAsia="zh-CN"/>
        </w:rPr>
      </w:pPr>
      <w:r>
        <w:rPr>
          <w:rFonts w:hint="default" w:ascii="Times New Roman" w:hAnsi="Times New Roman" w:eastAsia="仿宋_GB2312" w:cs="Times New Roman"/>
          <w:sz w:val="32"/>
          <w:szCs w:val="32"/>
          <w:highlight w:val="none"/>
          <w:lang w:val="en-US" w:eastAsia="zh-CN"/>
        </w:rPr>
        <w:t>根据巴州妇联《关于举办自治州第二届语润家国情</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石榴花·小手拉大手 全家一起学”家庭学用国家通用语言文字展示大赛》的文件要求，通过参加自治州“三八”活动一次，参加人数26人，参加自治州第二届国通语展示大赛一次，参加人数12人，保障164.98㎡的办公区域供暖，达到进一步激发广大妇女在新时代新征程上创新、实干、奋斗的热情，提高各族妇女参与社会建设的积极性；积极引领博湖县广大农村家庭学用国家通用语言文字，促进各族妇女铸牢中华民族共同体意识。</w:t>
      </w:r>
      <w:r>
        <w:rPr>
          <w:rFonts w:hint="default" w:ascii="Times New Roman" w:hAnsi="Times New Roman" w:eastAsia="仿宋_GB2312" w:cs="Times New Roman"/>
          <w:sz w:val="32"/>
          <w:szCs w:val="32"/>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阶段性目标</w:t>
      </w:r>
    </w:p>
    <w:p w14:paraId="4D4A807D">
      <w:pPr>
        <w:spacing w:line="560" w:lineRule="exact"/>
        <w:ind w:firstLine="624" w:firstLineChars="200"/>
        <w:rPr>
          <w:rStyle w:val="15"/>
          <w:rFonts w:hint="eastAsia" w:eastAsia="黑体" w:cs="Times New Roman"/>
          <w:b w:val="0"/>
          <w:bCs/>
          <w:spacing w:val="-4"/>
          <w:sz w:val="32"/>
          <w:szCs w:val="32"/>
          <w:highlight w:val="none"/>
          <w:lang w:val="en-US" w:eastAsia="zh-CN"/>
        </w:rPr>
      </w:pPr>
      <w:r>
        <w:rPr>
          <w:rStyle w:val="15"/>
          <w:rFonts w:hint="eastAsia" w:eastAsia="黑体" w:cs="Times New Roman"/>
          <w:b w:val="0"/>
          <w:bCs/>
          <w:spacing w:val="-4"/>
          <w:sz w:val="32"/>
          <w:szCs w:val="32"/>
          <w:highlight w:val="none"/>
          <w:lang w:val="en-US" w:eastAsia="zh-CN"/>
        </w:rPr>
        <w:t>上半年完成参加自治州“三八”活动一次，</w:t>
      </w:r>
      <w:bookmarkStart w:id="5" w:name="OLE_LINK1"/>
      <w:r>
        <w:rPr>
          <w:rStyle w:val="15"/>
          <w:rFonts w:hint="eastAsia" w:eastAsia="黑体" w:cs="Times New Roman"/>
          <w:b w:val="0"/>
          <w:bCs/>
          <w:spacing w:val="-4"/>
          <w:sz w:val="32"/>
          <w:szCs w:val="32"/>
          <w:highlight w:val="none"/>
          <w:lang w:val="en-US" w:eastAsia="zh-CN"/>
        </w:rPr>
        <w:t>采购表演所需化妆、服装租赁、道具、餐费、往返车费。</w:t>
      </w:r>
      <w:bookmarkEnd w:id="5"/>
    </w:p>
    <w:p w14:paraId="55BDB122">
      <w:pPr>
        <w:spacing w:line="560" w:lineRule="exact"/>
        <w:ind w:firstLine="624" w:firstLineChars="200"/>
        <w:rPr>
          <w:rStyle w:val="15"/>
          <w:rFonts w:hint="default" w:eastAsia="黑体" w:cs="Times New Roman"/>
          <w:b w:val="0"/>
          <w:bCs/>
          <w:spacing w:val="-4"/>
          <w:sz w:val="32"/>
          <w:szCs w:val="32"/>
          <w:highlight w:val="none"/>
          <w:lang w:val="en-US" w:eastAsia="zh-CN"/>
        </w:rPr>
      </w:pPr>
      <w:r>
        <w:rPr>
          <w:rStyle w:val="15"/>
          <w:rFonts w:hint="eastAsia" w:eastAsia="黑体" w:cs="Times New Roman"/>
          <w:b w:val="0"/>
          <w:bCs/>
          <w:spacing w:val="-4"/>
          <w:sz w:val="32"/>
          <w:szCs w:val="32"/>
          <w:highlight w:val="none"/>
          <w:lang w:val="en-US" w:eastAsia="zh-CN"/>
        </w:rPr>
        <w:t>下半年完成参加自治州第二届国通语展示大赛一次，采购表演所需化妆、服装租赁、道具、餐费、往返车费。支付办公楼164.98平方米暖气费。</w:t>
      </w:r>
      <w:bookmarkEnd w:id="4"/>
    </w:p>
    <w:p w14:paraId="77BFD9BF">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二、绩效评价工作开展情况</w:t>
      </w:r>
    </w:p>
    <w:p w14:paraId="595E89B6">
      <w:pPr>
        <w:spacing w:line="560" w:lineRule="exact"/>
        <w:ind w:firstLine="643" w:firstLineChars="200"/>
        <w:rPr>
          <w:rFonts w:hint="default" w:ascii="Times New Roman" w:hAnsi="Times New Roman" w:eastAsia="楷体_GB2312" w:cs="Times New Roman"/>
          <w:b/>
          <w:bCs/>
          <w:sz w:val="32"/>
          <w:szCs w:val="32"/>
          <w:highlight w:val="none"/>
        </w:rPr>
      </w:pPr>
      <w:bookmarkStart w:id="6" w:name="OLE_LINK21"/>
      <w:r>
        <w:rPr>
          <w:rFonts w:hint="default" w:ascii="Times New Roman" w:hAnsi="Times New Roman" w:eastAsia="楷体_GB2312" w:cs="Times New Roman"/>
          <w:b/>
          <w:bCs/>
          <w:sz w:val="32"/>
          <w:szCs w:val="32"/>
          <w:highlight w:val="none"/>
        </w:rPr>
        <w:t>（一）绩效评价目的、对象和范围</w:t>
      </w:r>
    </w:p>
    <w:p w14:paraId="73FA1CD0">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14:paraId="5A2F07DE">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w:t>
      </w:r>
      <w:bookmarkStart w:id="30" w:name="_GoBack"/>
      <w:r>
        <w:rPr>
          <w:rFonts w:hint="default" w:ascii="Times New Roman" w:hAnsi="Times New Roman" w:eastAsia="仿宋_GB2312" w:cs="Times New Roman"/>
          <w:sz w:val="32"/>
          <w:szCs w:val="32"/>
          <w:highlight w:val="none"/>
          <w:lang w:val="en-US" w:eastAsia="zh-CN"/>
        </w:rPr>
        <w:t>的</w:t>
      </w:r>
      <w:bookmarkEnd w:id="30"/>
      <w:r>
        <w:rPr>
          <w:rFonts w:hint="default" w:ascii="Times New Roman" w:hAnsi="Times New Roman" w:eastAsia="仿宋_GB2312" w:cs="Times New Roman"/>
          <w:sz w:val="32"/>
          <w:szCs w:val="32"/>
          <w:highlight w:val="none"/>
          <w:lang w:val="en-US" w:eastAsia="zh-CN"/>
        </w:rPr>
        <w:t>梳理与评估。</w:t>
      </w:r>
    </w:p>
    <w:p w14:paraId="676C4358">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w:t>
      </w:r>
    </w:p>
    <w:p w14:paraId="504574B9">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在数据收集与分析环节，采用了问卷调查，</w:t>
      </w:r>
      <w:r>
        <w:rPr>
          <w:rStyle w:val="15"/>
          <w:rFonts w:hint="default" w:ascii="Times New Roman" w:hAnsi="Times New Roman" w:eastAsia="方正仿宋_GBK" w:cs="Times New Roman"/>
          <w:b w:val="0"/>
          <w:bCs w:val="0"/>
          <w:spacing w:val="0"/>
          <w:kern w:val="2"/>
          <w:sz w:val="32"/>
          <w:szCs w:val="32"/>
          <w:highlight w:val="none"/>
          <w:lang w:val="en-US" w:eastAsia="zh-CN" w:bidi="ar-SA"/>
        </w:rPr>
        <w:t>广泛收集了与项目相关的各类数据，以确保评价结论的科学性和可靠性。</w:t>
      </w:r>
    </w:p>
    <w:p w14:paraId="1F8026C9">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17BAE7D2">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52BE5B66">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绩效评价的目的</w:t>
      </w:r>
    </w:p>
    <w:p w14:paraId="0AECC32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14:paraId="070F9ED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通过对项目预算执行情况及各项绩效目标达成程度的系统性分析，全面、客观地评估项目在预定周期内的实施效果，包括社会效益指标，为项目后续的改进与优化提供科学依据。</w:t>
      </w:r>
    </w:p>
    <w:p w14:paraId="588AC05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（2）强化项目管理责任</w:t>
      </w:r>
    </w:p>
    <w:p w14:paraId="1023F10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3959434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）促进项目持续改进</w:t>
      </w:r>
    </w:p>
    <w:p w14:paraId="2F0EBC3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1B5C48B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29092D99">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绩效评价的对象</w:t>
      </w:r>
    </w:p>
    <w:p w14:paraId="4CD94E7A">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本项目预算绩效评价报告的评价对象是</w:t>
      </w:r>
      <w:r>
        <w:rPr>
          <w:rFonts w:hint="eastAsia" w:ascii="Times New Roman" w:hAnsi="Times New Roman" w:eastAsia="仿宋_GB2312" w:cs="Times New Roman"/>
          <w:b w:val="0"/>
          <w:bCs w:val="0"/>
          <w:highlight w:val="none"/>
          <w:lang w:val="en-US" w:eastAsia="zh-CN"/>
        </w:rPr>
        <w:t>博湖县妇女儿童工作经费项目</w:t>
      </w:r>
      <w:r>
        <w:rPr>
          <w:rFonts w:hint="default" w:ascii="Times New Roman" w:hAnsi="Times New Roman" w:eastAsia="仿宋_GB2312" w:cs="Times New Roman"/>
          <w:b w:val="0"/>
          <w:bCs w:val="0"/>
          <w:highlight w:val="none"/>
        </w:rPr>
        <w:t>及其预算执行情况。该项目由</w:t>
      </w:r>
      <w:r>
        <w:rPr>
          <w:rFonts w:hint="eastAsia" w:ascii="Times New Roman" w:hAnsi="Times New Roman" w:eastAsia="仿宋_GB2312" w:cs="Times New Roman"/>
          <w:b w:val="0"/>
          <w:bCs w:val="0"/>
          <w:highlight w:val="none"/>
          <w:lang w:val="en-US" w:eastAsia="zh-CN"/>
        </w:rPr>
        <w:t>博湖县妇女联合会</w:t>
      </w:r>
      <w:r>
        <w:rPr>
          <w:rFonts w:hint="default" w:ascii="Times New Roman" w:hAnsi="Times New Roman" w:eastAsia="仿宋_GB2312" w:cs="Times New Roman"/>
          <w:b w:val="0"/>
          <w:bCs w:val="0"/>
          <w:highlight w:val="none"/>
        </w:rPr>
        <w:t>负责实施，旨在</w:t>
      </w:r>
      <w:r>
        <w:rPr>
          <w:rFonts w:hint="eastAsia" w:ascii="Times New Roman" w:hAnsi="Times New Roman" w:eastAsia="仿宋_GB2312" w:cs="Times New Roman"/>
          <w:b w:val="0"/>
          <w:bCs w:val="0"/>
          <w:color w:val="auto"/>
          <w:highlight w:val="none"/>
          <w:lang w:val="en-US" w:eastAsia="zh-CN"/>
        </w:rPr>
        <w:t>保障单位正常运转，顺利参加自治州“三八”活动及自治州第二届国通语展示大赛</w:t>
      </w:r>
      <w:r>
        <w:rPr>
          <w:rFonts w:hint="default" w:ascii="Times New Roman" w:hAnsi="Times New Roman" w:eastAsia="仿宋_GB2312" w:cs="Times New Roman"/>
          <w:b w:val="0"/>
          <w:bCs w:val="0"/>
          <w:highlight w:val="none"/>
        </w:rPr>
        <w:t>。项目预算涵盖从</w:t>
      </w:r>
      <w:r>
        <w:rPr>
          <w:rFonts w:hint="eastAsia" w:ascii="Times New Roman" w:hAnsi="Times New Roman" w:eastAsia="仿宋_GB2312" w:cs="Times New Roman"/>
          <w:b w:val="0"/>
          <w:bCs w:val="0"/>
          <w:highlight w:val="none"/>
          <w:lang w:val="en-US" w:eastAsia="zh-CN"/>
        </w:rPr>
        <w:t>2024年3月1日</w:t>
      </w:r>
      <w:r>
        <w:rPr>
          <w:rFonts w:hint="default" w:ascii="Times New Roman" w:hAnsi="Times New Roman" w:eastAsia="仿宋_GB2312" w:cs="Times New Roman"/>
          <w:b w:val="0"/>
          <w:bCs w:val="0"/>
          <w:highlight w:val="none"/>
        </w:rPr>
        <w:t>至</w:t>
      </w:r>
      <w:r>
        <w:rPr>
          <w:rFonts w:hint="eastAsia" w:ascii="Times New Roman" w:hAnsi="Times New Roman" w:eastAsia="仿宋_GB2312" w:cs="Times New Roman"/>
          <w:b w:val="0"/>
          <w:bCs w:val="0"/>
          <w:highlight w:val="none"/>
          <w:lang w:val="en-US" w:eastAsia="zh-CN"/>
        </w:rPr>
        <w:t>2024年12月25日</w:t>
      </w:r>
      <w:r>
        <w:rPr>
          <w:rFonts w:hint="default" w:ascii="Times New Roman" w:hAnsi="Times New Roman" w:eastAsia="仿宋_GB2312" w:cs="Times New Roman"/>
          <w:b w:val="0"/>
          <w:bCs w:val="0"/>
          <w:highlight w:val="none"/>
        </w:rPr>
        <w:t>的全部资金投入与支出，涉及资金总额为</w:t>
      </w:r>
      <w:r>
        <w:rPr>
          <w:rFonts w:hint="eastAsia" w:ascii="Times New Roman" w:hAnsi="Times New Roman" w:eastAsia="仿宋_GB2312" w:cs="Times New Roman"/>
          <w:b w:val="0"/>
          <w:bCs w:val="0"/>
          <w:highlight w:val="none"/>
          <w:lang w:val="en-US" w:eastAsia="zh-CN"/>
        </w:rPr>
        <w:t>1.94</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14:paraId="09B2F980">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4.</w:t>
      </w:r>
      <w:r>
        <w:rPr>
          <w:rFonts w:hint="default" w:ascii="Times New Roman" w:hAnsi="Times New Roman" w:eastAsia="仿宋_GB2312" w:cs="Times New Roman"/>
          <w:b w:val="0"/>
          <w:bCs w:val="0"/>
          <w:highlight w:val="none"/>
        </w:rPr>
        <w:t>绩效评价的范围</w:t>
      </w:r>
    </w:p>
    <w:p w14:paraId="3F55EDCF">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14:paraId="7513B540">
      <w:pPr>
        <w:pStyle w:val="9"/>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14:paraId="4C2B62E7">
      <w:pPr>
        <w:pStyle w:val="9"/>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14:paraId="7B3EFA69">
      <w:pPr>
        <w:pStyle w:val="9"/>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14:paraId="2C9163F3">
      <w:pPr>
        <w:pStyle w:val="9"/>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社会影响：考察项目对社会方面的综合影响。</w:t>
      </w:r>
      <w:bookmarkEnd w:id="6"/>
    </w:p>
    <w:p w14:paraId="3D141BDB">
      <w:pPr>
        <w:spacing w:line="560" w:lineRule="exact"/>
        <w:ind w:firstLine="643" w:firstLineChars="200"/>
        <w:rPr>
          <w:rFonts w:hint="default" w:ascii="Times New Roman" w:hAnsi="Times New Roman" w:cs="Times New Roman"/>
          <w:highlight w:val="none"/>
        </w:rPr>
      </w:pPr>
      <w:r>
        <w:rPr>
          <w:rFonts w:hint="default" w:ascii="Times New Roman" w:hAnsi="Times New Roman" w:eastAsia="楷体_GB2312" w:cs="Times New Roman"/>
          <w:b/>
          <w:bCs/>
          <w:sz w:val="32"/>
          <w:szCs w:val="32"/>
          <w:highlight w:val="none"/>
        </w:rPr>
        <w:t>（二）绩效评价原则、评价指标体系（详情见表1）、评价方法、评价标准。</w:t>
      </w:r>
    </w:p>
    <w:p w14:paraId="2B8ADBAE">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bookmarkStart w:id="7" w:name="OLE_LINK22"/>
      <w:r>
        <w:rPr>
          <w:rFonts w:hint="default" w:ascii="Times New Roman" w:hAnsi="Times New Roman" w:eastAsia="仿宋_GB2312" w:cs="Times New Roman"/>
          <w:b w:val="0"/>
          <w:bCs w:val="0"/>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绩效评价原则</w:t>
      </w:r>
    </w:p>
    <w:p w14:paraId="7172DB3D">
      <w:pPr>
        <w:spacing w:line="560" w:lineRule="exact"/>
        <w:ind w:firstLine="640" w:firstLineChars="200"/>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本次项目绩效评价遵循以下基本原则：</w:t>
      </w:r>
    </w:p>
    <w:p w14:paraId="31C509B4">
      <w:pPr>
        <w:pStyle w:val="9"/>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（1）科学公正。绩效评价应当运用科学合理的方法，按照规范的程序，对项目绩效进行客观、公正的反映。</w:t>
      </w:r>
    </w:p>
    <w:p w14:paraId="56154516">
      <w:pPr>
        <w:pStyle w:val="9"/>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（2）统筹兼顾。单位自评、部门评价和财政评价应职责明确，各有侧重，相互衔接。单位自评应由项目单位自主实施，即“谁支出、谁自评”。部门评价和财政评价应在单位自评的基础上开展。</w:t>
      </w:r>
    </w:p>
    <w:p w14:paraId="5845A8B5">
      <w:pPr>
        <w:pStyle w:val="9"/>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（3）激励约束。绩效评价结果应与预算安排、政策调整、改进管理实质性挂钩，体现奖优罚劣和激励相容导向，有效要安排、低效要压减、无效要问责。</w:t>
      </w:r>
    </w:p>
    <w:p w14:paraId="5C8430A5">
      <w:pPr>
        <w:pStyle w:val="9"/>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（4）公开透明。绩效评价结果应依法依规公开，并自觉接受社会监督。</w:t>
      </w:r>
    </w:p>
    <w:p w14:paraId="3A9CF0C1">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评价指标体系</w:t>
      </w:r>
    </w:p>
    <w:p w14:paraId="6553F2E2">
      <w:pPr>
        <w:spacing w:line="560" w:lineRule="exact"/>
        <w:ind w:firstLine="708" w:firstLineChars="200"/>
        <w:rPr>
          <w:rFonts w:hint="default" w:ascii="Times New Roman" w:hAnsi="Times New Roman"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绩效评价框架是开展绩效评价的核心。绩效评价框架包括评价准则、关键评价问题、评价指标、数据来源、数据收集方法等。指标体系建立过程如下：</w:t>
      </w:r>
    </w:p>
    <w:p w14:paraId="2D6B2384">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（1）确定评价指标</w:t>
      </w:r>
    </w:p>
    <w:p w14:paraId="7DA5EBAA">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62485B47">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（2）确定权重</w:t>
      </w:r>
    </w:p>
    <w:p w14:paraId="0AAE6FC7">
      <w:pPr>
        <w:spacing w:line="560" w:lineRule="exact"/>
        <w:ind w:firstLine="708" w:firstLineChars="200"/>
        <w:rPr>
          <w:rFonts w:hint="default" w:ascii="Times New Roman" w:hAnsi="Times New Roman" w:eastAsia="仿宋_GB2312" w:cs="Times New Roman"/>
          <w:color w:val="FF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2ED9D29A">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（3）确定指标标准值</w:t>
      </w:r>
    </w:p>
    <w:p w14:paraId="0CF43B4A">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14:paraId="71CA321E">
      <w:pPr>
        <w:pStyle w:val="9"/>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highlight w:val="none"/>
        </w:rPr>
      </w:pPr>
      <w:r>
        <w:rPr>
          <w:rFonts w:hint="default" w:ascii="Times New Roman" w:hAnsi="Times New Roman" w:eastAsia="仿宋_GB2312" w:cs="Times New Roman"/>
          <w:b w:val="0"/>
          <w:bCs w:val="0"/>
          <w:color w:val="000000"/>
          <w:spacing w:val="17"/>
          <w:kern w:val="2"/>
          <w:highlight w:val="none"/>
        </w:rPr>
        <w:t>绩效评价总分值100分，根据综合评分结果，90（含）-100分为优、80（含）-90分为良、60（含）-80分为中、60分以下为差。</w:t>
      </w:r>
    </w:p>
    <w:p w14:paraId="73080608">
      <w:pPr>
        <w:pStyle w:val="9"/>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highlight w:val="none"/>
        </w:rPr>
      </w:pPr>
      <w:r>
        <w:rPr>
          <w:rFonts w:hint="default" w:ascii="Times New Roman" w:hAnsi="Times New Roman" w:eastAsia="仿宋_GB2312" w:cs="Times New Roman"/>
          <w:b w:val="0"/>
          <w:bCs w:val="0"/>
          <w:color w:val="000000"/>
          <w:spacing w:val="17"/>
          <w:highlight w:val="none"/>
        </w:rPr>
        <w:t>具体评价指标体系详情见附件1</w:t>
      </w:r>
    </w:p>
    <w:p w14:paraId="232E74DA">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w:t>
      </w:r>
      <w:r>
        <w:rPr>
          <w:rFonts w:hint="default" w:ascii="Times New Roman" w:hAnsi="Times New Roman" w:eastAsia="仿宋_GB2312" w:cs="Times New Roman"/>
          <w:b w:val="0"/>
          <w:bCs w:val="0"/>
          <w:highlight w:val="none"/>
          <w:lang w:val="en-US" w:eastAsia="zh-CN"/>
        </w:rPr>
        <w:t>.</w:t>
      </w:r>
      <w:r>
        <w:rPr>
          <w:rFonts w:hint="default" w:ascii="Times New Roman" w:hAnsi="Times New Roman" w:eastAsia="仿宋_GB2312" w:cs="Times New Roman"/>
          <w:b w:val="0"/>
          <w:bCs w:val="0"/>
          <w:highlight w:val="none"/>
        </w:rPr>
        <w:t>绩效评价方法</w:t>
      </w:r>
    </w:p>
    <w:p w14:paraId="06FF0B0E">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绩效评价从项目决策、项目过程、项目产出、项目效益四个维度进行评价。评价对象为项目目标实施情况，  评价核心为资金的支出完成情况和项目的产出效益。</w:t>
      </w:r>
    </w:p>
    <w:p w14:paraId="5DD2FCF8">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49871CA3">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比较法</w:t>
      </w:r>
      <w:r>
        <w:rPr>
          <w:rFonts w:hint="eastAsia" w:eastAsia="仿宋_GB2312" w:cs="Times New Roman"/>
          <w:color w:val="000000"/>
          <w:spacing w:val="17"/>
          <w:sz w:val="32"/>
          <w:szCs w:val="32"/>
          <w:highlight w:val="none"/>
          <w:lang w:eastAsia="zh-CN"/>
        </w:rPr>
        <w:t>，</w:t>
      </w:r>
      <w:r>
        <w:rPr>
          <w:rFonts w:hint="eastAsia" w:ascii="Times New Roman" w:hAnsi="Times New Roman" w:eastAsia="仿宋_GB2312" w:cs="Times New Roman"/>
          <w:color w:val="000000"/>
          <w:spacing w:val="17"/>
          <w:sz w:val="32"/>
          <w:szCs w:val="32"/>
          <w:highlight w:val="none"/>
          <w:lang w:val="en-US" w:eastAsia="zh-CN"/>
        </w:rPr>
        <w:t>将本项目实施情况与</w:t>
      </w:r>
      <w:r>
        <w:rPr>
          <w:rFonts w:hint="default" w:ascii="Times New Roman" w:hAnsi="Times New Roman" w:eastAsia="仿宋_GB2312" w:cs="Times New Roman"/>
          <w:color w:val="000000"/>
          <w:spacing w:val="17"/>
          <w:sz w:val="32"/>
          <w:szCs w:val="32"/>
          <w:highlight w:val="none"/>
        </w:rPr>
        <w:t>年初设定目标</w:t>
      </w:r>
      <w:r>
        <w:rPr>
          <w:rFonts w:hint="eastAsia" w:eastAsia="仿宋_GB2312" w:cs="Times New Roman"/>
          <w:color w:val="000000"/>
          <w:spacing w:val="17"/>
          <w:sz w:val="32"/>
          <w:szCs w:val="32"/>
          <w:highlight w:val="none"/>
          <w:lang w:val="en-US" w:eastAsia="zh-CN"/>
        </w:rPr>
        <w:t>选送26人参加自治州“三八”活动一次</w:t>
      </w:r>
      <w:r>
        <w:rPr>
          <w:rFonts w:hint="eastAsia" w:ascii="Times New Roman" w:hAnsi="Times New Roman" w:eastAsia="仿宋_GB2312" w:cs="Times New Roman"/>
          <w:color w:val="000000"/>
          <w:spacing w:val="17"/>
          <w:sz w:val="32"/>
          <w:szCs w:val="32"/>
          <w:highlight w:val="none"/>
          <w:lang w:val="en-US" w:eastAsia="zh-CN"/>
        </w:rPr>
        <w:t>，</w:t>
      </w:r>
      <w:r>
        <w:rPr>
          <w:rFonts w:hint="eastAsia" w:eastAsia="仿宋_GB2312" w:cs="Times New Roman"/>
          <w:color w:val="000000"/>
          <w:spacing w:val="17"/>
          <w:sz w:val="32"/>
          <w:szCs w:val="32"/>
          <w:highlight w:val="none"/>
          <w:lang w:val="en-US" w:eastAsia="zh-CN"/>
        </w:rPr>
        <w:t>组织12人参加自治州第二届国通语展示大赛一次</w:t>
      </w:r>
      <w:r>
        <w:rPr>
          <w:rFonts w:hint="eastAsia" w:ascii="Times New Roman" w:hAnsi="Times New Roman" w:eastAsia="仿宋_GB2312" w:cs="Times New Roman"/>
          <w:color w:val="000000"/>
          <w:spacing w:val="17"/>
          <w:sz w:val="32"/>
          <w:szCs w:val="32"/>
          <w:highlight w:val="none"/>
          <w:lang w:val="en-US" w:eastAsia="zh-CN"/>
        </w:rPr>
        <w:t>，办公楼采暖</w:t>
      </w:r>
      <w:r>
        <w:rPr>
          <w:rFonts w:hint="eastAsia" w:eastAsia="仿宋_GB2312" w:cs="Times New Roman"/>
          <w:color w:val="000000"/>
          <w:spacing w:val="17"/>
          <w:sz w:val="32"/>
          <w:szCs w:val="32"/>
          <w:highlight w:val="none"/>
          <w:lang w:val="en-US" w:eastAsia="zh-CN"/>
        </w:rPr>
        <w:t>面积164.98平方米</w:t>
      </w:r>
      <w:r>
        <w:rPr>
          <w:rFonts w:hint="eastAsia" w:ascii="Times New Roman" w:hAnsi="Times New Roman" w:eastAsia="仿宋_GB2312" w:cs="Times New Roman"/>
          <w:color w:val="000000"/>
          <w:spacing w:val="17"/>
          <w:sz w:val="32"/>
          <w:szCs w:val="32"/>
          <w:highlight w:val="none"/>
          <w:lang w:val="en-US" w:eastAsia="zh-CN"/>
        </w:rPr>
        <w:t>等目标</w:t>
      </w:r>
      <w:r>
        <w:rPr>
          <w:rFonts w:hint="default" w:ascii="Times New Roman" w:hAnsi="Times New Roman" w:eastAsia="仿宋_GB2312" w:cs="Times New Roman"/>
          <w:color w:val="000000"/>
          <w:spacing w:val="17"/>
          <w:sz w:val="32"/>
          <w:szCs w:val="32"/>
          <w:highlight w:val="none"/>
        </w:rPr>
        <w:t>进行比较</w:t>
      </w:r>
      <w:r>
        <w:rPr>
          <w:rFonts w:hint="eastAsia" w:ascii="Times New Roman" w:hAnsi="Times New Roman" w:eastAsia="仿宋_GB2312" w:cs="Times New Roman"/>
          <w:color w:val="000000"/>
          <w:spacing w:val="17"/>
          <w:sz w:val="32"/>
          <w:szCs w:val="32"/>
          <w:highlight w:val="none"/>
          <w:lang w:eastAsia="zh-CN"/>
        </w:rPr>
        <w:t>。</w:t>
      </w:r>
    </w:p>
    <w:p w14:paraId="66125C0C">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14:paraId="222CA964">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highlight w:val="none"/>
          <w:lang w:val="en-US" w:eastAsia="zh-CN"/>
        </w:rPr>
        <w:t>计划</w:t>
      </w:r>
      <w:r>
        <w:rPr>
          <w:rFonts w:hint="default" w:ascii="Times New Roman" w:hAnsi="Times New Roman" w:eastAsia="仿宋_GB2312" w:cs="Times New Roman"/>
          <w:b w:val="0"/>
          <w:bCs w:val="0"/>
          <w:highlight w:val="none"/>
        </w:rPr>
        <w:t>标准。</w:t>
      </w:r>
    </w:p>
    <w:p w14:paraId="0E359A0D">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原因是：根据</w:t>
      </w:r>
      <w:r>
        <w:rPr>
          <w:rFonts w:hint="eastAsia" w:ascii="Times New Roman" w:hAnsi="Times New Roman" w:eastAsia="仿宋_GB2312" w:cs="Times New Roman"/>
          <w:b w:val="0"/>
          <w:bCs w:val="0"/>
          <w:highlight w:val="none"/>
          <w:lang w:val="en-US" w:eastAsia="zh-CN"/>
        </w:rPr>
        <w:t>博湖县妇女联合会工作安排</w:t>
      </w:r>
      <w:r>
        <w:rPr>
          <w:rFonts w:hint="default" w:ascii="Times New Roman" w:hAnsi="Times New Roman" w:eastAsia="仿宋_GB2312" w:cs="Times New Roman"/>
          <w:b w:val="0"/>
          <w:bCs w:val="0"/>
          <w:highlight w:val="none"/>
        </w:rPr>
        <w:t>，制定了本项目的目标及工作计划，确定了预算及定额作为评价标准。</w:t>
      </w:r>
      <w:bookmarkEnd w:id="7"/>
    </w:p>
    <w:p w14:paraId="546F6456">
      <w:pPr>
        <w:pStyle w:val="9"/>
        <w:numPr>
          <w:ilvl w:val="0"/>
          <w:numId w:val="2"/>
        </w:numPr>
        <w:spacing w:before="0" w:after="0" w:line="560" w:lineRule="exact"/>
        <w:ind w:firstLine="711" w:firstLineChars="200"/>
        <w:jc w:val="both"/>
        <w:rPr>
          <w:rFonts w:hint="default" w:ascii="Times New Roman" w:hAnsi="Times New Roman" w:eastAsia="楷体" w:cs="Times New Roman"/>
          <w:color w:val="000000"/>
          <w:spacing w:val="17"/>
          <w:highlight w:val="none"/>
        </w:rPr>
      </w:pPr>
      <w:r>
        <w:rPr>
          <w:rFonts w:hint="default" w:ascii="Times New Roman" w:hAnsi="Times New Roman" w:eastAsia="楷体" w:cs="Times New Roman"/>
          <w:color w:val="000000"/>
          <w:spacing w:val="17"/>
          <w:highlight w:val="none"/>
        </w:rPr>
        <w:t>绩效评价工作过程</w:t>
      </w:r>
    </w:p>
    <w:p w14:paraId="6D99E5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bookmarkStart w:id="8" w:name="OLE_LINK23"/>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14:paraId="48A5ECF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14:paraId="64977B2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14:paraId="3D03490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14:paraId="6B68428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14:paraId="79B81AA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0B5F650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14:paraId="3269AB0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7892EED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14:paraId="4ACAC32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322805C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14:paraId="7B40AF0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bookmarkEnd w:id="8"/>
    </w:p>
    <w:p w14:paraId="54F723B1">
      <w:pPr>
        <w:numPr>
          <w:ilvl w:val="0"/>
          <w:numId w:val="3"/>
        </w:num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综合评价情况及评价结论（附相关评分表）</w:t>
      </w:r>
    </w:p>
    <w:p w14:paraId="197BA87A">
      <w:pPr>
        <w:pStyle w:val="9"/>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bookmarkStart w:id="9" w:name="OLE_LINK24"/>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一</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评价情况</w:t>
      </w:r>
    </w:p>
    <w:p w14:paraId="6D41BEFF">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eastAsia" w:eastAsia="仿宋_GB2312" w:cs="Times New Roman"/>
          <w:color w:val="auto"/>
          <w:sz w:val="32"/>
          <w:szCs w:val="32"/>
          <w:highlight w:val="none"/>
          <w:lang w:val="en-US" w:eastAsia="zh-CN"/>
        </w:rPr>
        <w:t>博湖县妇女儿童工作经费项目</w:t>
      </w:r>
      <w:r>
        <w:rPr>
          <w:rFonts w:hint="default" w:ascii="Times New Roman" w:hAnsi="Times New Roman" w:eastAsia="仿宋_GB2312" w:cs="Times New Roman"/>
          <w:sz w:val="32"/>
          <w:szCs w:val="32"/>
          <w:highlight w:val="none"/>
        </w:rPr>
        <w:t>在</w:t>
      </w:r>
      <w:r>
        <w:rPr>
          <w:rFonts w:hint="eastAsia" w:eastAsia="仿宋_GB2312" w:cs="Times New Roman"/>
          <w:sz w:val="32"/>
          <w:szCs w:val="32"/>
          <w:highlight w:val="none"/>
          <w:lang w:val="en-US" w:eastAsia="zh-CN"/>
        </w:rPr>
        <w:t>保障单位正常运转</w:t>
      </w:r>
      <w:r>
        <w:rPr>
          <w:rFonts w:hint="default" w:ascii="Times New Roman" w:hAnsi="Times New Roman" w:eastAsia="仿宋_GB2312" w:cs="Times New Roman"/>
          <w:sz w:val="32"/>
          <w:szCs w:val="32"/>
          <w:highlight w:val="none"/>
        </w:rPr>
        <w:t>方面表现出色，达到了预期的标准与要求。同时，也在</w:t>
      </w:r>
      <w:r>
        <w:rPr>
          <w:rFonts w:hint="eastAsia" w:eastAsia="仿宋_GB2312" w:cs="Times New Roman"/>
          <w:color w:val="auto"/>
          <w:sz w:val="32"/>
          <w:szCs w:val="32"/>
          <w:highlight w:val="none"/>
          <w:lang w:val="en-US" w:eastAsia="zh-CN"/>
        </w:rPr>
        <w:t>进一步激发广大妇女在新时代新征程上创新、实干、奋斗的热情方面</w:t>
      </w:r>
      <w:r>
        <w:rPr>
          <w:rFonts w:hint="default" w:ascii="Times New Roman" w:hAnsi="Times New Roman" w:eastAsia="仿宋_GB2312" w:cs="Times New Roman"/>
          <w:sz w:val="32"/>
          <w:szCs w:val="32"/>
          <w:highlight w:val="none"/>
        </w:rPr>
        <w:t>取得了显著的成效。</w:t>
      </w:r>
    </w:p>
    <w:p w14:paraId="52024D4C">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val="en-US" w:eastAsia="zh-CN"/>
        </w:rPr>
        <w:t>博湖县妇女联合会</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14:paraId="59B72467">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从项目效益的角度来看，本项目不仅实现了预期的社会效益。具体而言，提高妇女参与社会建设的积极性，为项目的利益相关者带来了实实在在的利益。</w:t>
      </w:r>
    </w:p>
    <w:p w14:paraId="4FFF5D24">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r>
        <w:rPr>
          <w:rFonts w:hint="eastAsia" w:eastAsia="仿宋_GB2312" w:cs="Times New Roman"/>
          <w:sz w:val="32"/>
          <w:szCs w:val="32"/>
          <w:highlight w:val="none"/>
          <w:lang w:val="en-US" w:eastAsia="zh-CN"/>
        </w:rPr>
        <w:t>博湖县妇女儿童工作经费项目</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p>
    <w:p w14:paraId="41692E64">
      <w:pPr>
        <w:pStyle w:val="9"/>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二</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评价结论</w:t>
      </w:r>
    </w:p>
    <w:p w14:paraId="283BF68C">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 xml:space="preserve">运用绩效评价组制定的评价指标体系以及财政部《项目支出绩效评价管理办法》（财预〔2020〕10号）文件的评分标准，通过数据采集、问卷调查等方式，对本项目进行客观评价，最终评分结果：总得分为 </w:t>
      </w:r>
      <w:r>
        <w:rPr>
          <w:rFonts w:hint="eastAsia" w:ascii="Times New Roman" w:hAnsi="Times New Roman" w:eastAsia="仿宋_GB2312" w:cs="Times New Roman"/>
          <w:b w:val="0"/>
          <w:bCs w:val="0"/>
          <w:highlight w:val="none"/>
          <w:lang w:val="en-US" w:eastAsia="zh-CN"/>
        </w:rPr>
        <w:t>99.48</w:t>
      </w:r>
      <w:r>
        <w:rPr>
          <w:rFonts w:hint="default" w:ascii="Times New Roman" w:hAnsi="Times New Roman" w:eastAsia="仿宋_GB2312" w:cs="Times New Roman"/>
          <w:b w:val="0"/>
          <w:bCs w:val="0"/>
          <w:highlight w:val="none"/>
        </w:rPr>
        <w:t xml:space="preserve">分，属于“优”。其中，项目决策类指标权重为20分，得分为 </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39.48</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98.7</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w:t>
      </w:r>
      <w:bookmarkEnd w:id="9"/>
      <w:r>
        <w:rPr>
          <w:rFonts w:hint="default" w:ascii="Times New Roman" w:hAnsi="Times New Roman" w:eastAsia="仿宋_GB2312" w:cs="Times New Roman"/>
          <w:b w:val="0"/>
          <w:bCs w:val="0"/>
          <w:highlight w:val="none"/>
        </w:rPr>
        <w:t>具体打分情况详见：附件1综合评分表</w:t>
      </w:r>
      <w:r>
        <w:rPr>
          <w:rFonts w:hint="default" w:ascii="Times New Roman" w:hAnsi="Times New Roman" w:eastAsia="仿宋_GB2312" w:cs="Times New Roman"/>
          <w:b w:val="0"/>
          <w:bCs w:val="0"/>
          <w:highlight w:val="none"/>
          <w:lang w:eastAsia="zh-CN"/>
        </w:rPr>
        <w:t>。</w:t>
      </w:r>
    </w:p>
    <w:p w14:paraId="3D880D56">
      <w:pPr>
        <w:pStyle w:val="9"/>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highlight w:val="none"/>
        </w:rPr>
      </w:pPr>
      <w:r>
        <w:rPr>
          <w:rFonts w:hint="default" w:ascii="Times New Roman" w:hAnsi="Times New Roman" w:eastAsia="仿宋_GB2312" w:cs="Times New Roman"/>
          <w:sz w:val="21"/>
          <w:szCs w:val="21"/>
          <w:highlight w:val="none"/>
        </w:rPr>
        <w:t>表1综合评分表</w:t>
      </w:r>
    </w:p>
    <w:tbl>
      <w:tblPr>
        <w:tblStyle w:val="12"/>
        <w:tblW w:w="7583" w:type="dxa"/>
        <w:jc w:val="center"/>
        <w:tblLayout w:type="fixed"/>
        <w:tblCellMar>
          <w:top w:w="0" w:type="dxa"/>
          <w:left w:w="108" w:type="dxa"/>
          <w:bottom w:w="0" w:type="dxa"/>
          <w:right w:w="108" w:type="dxa"/>
        </w:tblCellMar>
      </w:tblPr>
      <w:tblGrid>
        <w:gridCol w:w="3137"/>
        <w:gridCol w:w="2168"/>
        <w:gridCol w:w="2278"/>
      </w:tblGrid>
      <w:tr w14:paraId="68FD0F3F">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vAlign w:val="center"/>
          </w:tcPr>
          <w:p w14:paraId="72C34068">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vAlign w:val="center"/>
          </w:tcPr>
          <w:p w14:paraId="5AFA1147">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vAlign w:val="center"/>
          </w:tcPr>
          <w:p w14:paraId="252E768F">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得分</w:t>
            </w:r>
          </w:p>
        </w:tc>
      </w:tr>
      <w:tr w14:paraId="524C5285">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7DAECA36">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项目决策</w:t>
            </w:r>
          </w:p>
        </w:tc>
        <w:tc>
          <w:tcPr>
            <w:tcW w:w="2168" w:type="dxa"/>
            <w:tcBorders>
              <w:top w:val="nil"/>
              <w:left w:val="nil"/>
              <w:bottom w:val="single" w:color="auto" w:sz="4" w:space="0"/>
              <w:right w:val="single" w:color="auto" w:sz="4" w:space="0"/>
            </w:tcBorders>
            <w:shd w:val="clear" w:color="auto" w:fill="auto"/>
            <w:vAlign w:val="center"/>
          </w:tcPr>
          <w:p w14:paraId="02AB9DEE">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41E864EF">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r>
      <w:tr w14:paraId="75770455">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5A62C688">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14:paraId="2B662CD5">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6A2092E1">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r>
      <w:tr w14:paraId="537CB7A3">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3B147FCC">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14:paraId="0F50AD9A">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32B1316B">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39.48</w:t>
            </w:r>
          </w:p>
        </w:tc>
      </w:tr>
      <w:tr w14:paraId="7817C360">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32C6C444">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14:paraId="3FCB8E77">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38721E9C">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r>
      <w:tr w14:paraId="6E815D9B">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33F1AEAB">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合计</w:t>
            </w:r>
          </w:p>
        </w:tc>
        <w:tc>
          <w:tcPr>
            <w:tcW w:w="2168" w:type="dxa"/>
            <w:tcBorders>
              <w:top w:val="nil"/>
              <w:left w:val="nil"/>
              <w:bottom w:val="single" w:color="auto" w:sz="4" w:space="0"/>
              <w:right w:val="single" w:color="auto" w:sz="4" w:space="0"/>
            </w:tcBorders>
            <w:shd w:val="clear" w:color="auto" w:fill="auto"/>
            <w:vAlign w:val="center"/>
          </w:tcPr>
          <w:p w14:paraId="766E7E3E">
            <w:pPr>
              <w:jc w:val="center"/>
              <w:rPr>
                <w:rFonts w:hint="default" w:ascii="Times New Roman" w:hAnsi="Times New Roman" w:eastAsia="仿宋_GB2312" w:cs="Times New Roman"/>
                <w:b/>
                <w:bCs/>
                <w:color w:val="000000"/>
                <w:sz w:val="21"/>
                <w:szCs w:val="21"/>
                <w:highlight w:val="none"/>
                <w:lang w:val="en-US" w:eastAsia="zh-CN"/>
              </w:rPr>
            </w:pPr>
            <w:r>
              <w:rPr>
                <w:rFonts w:hint="default" w:ascii="Times New Roman" w:hAnsi="Times New Roman" w:eastAsia="仿宋_GB2312" w:cs="Times New Roman"/>
                <w:b/>
                <w:bCs/>
                <w:color w:val="000000"/>
                <w:sz w:val="21"/>
                <w:szCs w:val="21"/>
                <w:highlight w:val="none"/>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43857A6E">
            <w:pPr>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99.48</w:t>
            </w:r>
          </w:p>
        </w:tc>
      </w:tr>
    </w:tbl>
    <w:p w14:paraId="77365A00">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四、绩效评价指标分析</w:t>
      </w:r>
    </w:p>
    <w:p w14:paraId="141A991E">
      <w:pPr>
        <w:pStyle w:val="9"/>
        <w:spacing w:before="0" w:after="0" w:line="560" w:lineRule="exact"/>
        <w:ind w:firstLine="643" w:firstLineChars="200"/>
        <w:jc w:val="both"/>
        <w:rPr>
          <w:rFonts w:hint="default" w:ascii="Times New Roman" w:hAnsi="Times New Roman" w:eastAsia="楷体_GB2312" w:cs="Times New Roman"/>
          <w:highlight w:val="none"/>
        </w:rPr>
      </w:pPr>
      <w:r>
        <w:rPr>
          <w:rFonts w:hint="default" w:ascii="Times New Roman" w:hAnsi="Times New Roman" w:eastAsia="楷体_GB2312" w:cs="Times New Roman"/>
          <w:highlight w:val="none"/>
        </w:rPr>
        <w:t>（一）项目决策情况</w:t>
      </w:r>
    </w:p>
    <w:p w14:paraId="066986B0">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3D71DB5B">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1.项目立项</w:t>
      </w:r>
    </w:p>
    <w:p w14:paraId="26D56370">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（1）立项依据充分性</w:t>
      </w:r>
    </w:p>
    <w:p w14:paraId="194D5379">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立项根据博湖县人民政府《关于印发&lt;博湖县妇女发展规划&gt;和&lt;博湖县儿童发展规划（2021-2025年）&gt;的通知》（2022）37号文件要求，围绕本年度工作重点和工作计划制定经费预算，属于公共财政支持范围。本项目与部门内部其他相关项目不重复。部门发展规划及职能文件等归档完整。</w:t>
      </w:r>
    </w:p>
    <w:p w14:paraId="40D4438D">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14:paraId="5A674C96">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（2）立项程序规范性</w:t>
      </w:r>
    </w:p>
    <w:p w14:paraId="5F472406">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rPr>
        <w:t>项目申请、设立过程符合相关要求，严格按照审批流程准备符合要求的文件、材料；</w:t>
      </w:r>
      <w:r>
        <w:rPr>
          <w:rFonts w:hint="default" w:ascii="Times New Roman" w:hAnsi="Times New Roman" w:eastAsia="仿宋_GB2312" w:cs="Times New Roman"/>
          <w:spacing w:val="0"/>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根据决算依据编制工作计划和经费预算，经过与部门项目分管领导沟通、筛选确定经费预算计划，确定最终预算方案。项目的审批文件、材料符合相关要求，项目事前经过必要的集体决策，保障了程序的规范性。</w:t>
      </w:r>
    </w:p>
    <w:p w14:paraId="00A81E7C">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default" w:ascii="Times New Roman" w:hAnsi="Times New Roman" w:eastAsia="仿宋_GB2312" w:cs="Times New Roman"/>
          <w:spacing w:val="0"/>
          <w:sz w:val="32"/>
          <w:szCs w:val="32"/>
          <w:highlight w:val="none"/>
          <w:lang w:val="en-US" w:eastAsia="zh-CN"/>
        </w:rPr>
      </w:pPr>
      <w:r>
        <w:rPr>
          <w:rFonts w:hint="eastAsia" w:eastAsia="仿宋_GB2312" w:cs="Times New Roman"/>
          <w:spacing w:val="0"/>
          <w:sz w:val="32"/>
          <w:szCs w:val="32"/>
          <w:highlight w:val="none"/>
          <w:lang w:val="en-US" w:eastAsia="zh-CN"/>
        </w:rPr>
        <w:t>此项权重分值为3分，得分为3分。</w:t>
      </w:r>
    </w:p>
    <w:p w14:paraId="1C43CB8A">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2.绩效目标</w:t>
      </w:r>
    </w:p>
    <w:p w14:paraId="161D32C9">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（1）绩效目标合理性</w:t>
      </w:r>
    </w:p>
    <w:p w14:paraId="36407CF4">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rPr>
        <w:t>年初结合实际工作内容</w:t>
      </w:r>
      <w:r>
        <w:rPr>
          <w:rFonts w:hint="default" w:ascii="Times New Roman" w:hAnsi="Times New Roman" w:eastAsia="仿宋_GB2312" w:cs="Times New Roman"/>
          <w:sz w:val="32"/>
          <w:szCs w:val="32"/>
          <w:highlight w:val="none"/>
          <w:lang w:val="en-US" w:eastAsia="zh-CN"/>
        </w:rPr>
        <w:t>设定绩效目标</w:t>
      </w:r>
      <w:r>
        <w:rPr>
          <w:rFonts w:hint="default" w:ascii="Times New Roman" w:hAnsi="Times New Roman" w:eastAsia="仿宋_GB2312" w:cs="Times New Roman"/>
          <w:sz w:val="32"/>
          <w:szCs w:val="32"/>
          <w:highlight w:val="none"/>
          <w:lang w:val="en-US"/>
        </w:rPr>
        <w:t>，绩效目标</w:t>
      </w:r>
      <w:r>
        <w:rPr>
          <w:rFonts w:hint="default" w:ascii="Times New Roman" w:hAnsi="Times New Roman" w:eastAsia="仿宋_GB2312" w:cs="Times New Roman"/>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1AFB8A6B">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14:paraId="1322D0C4">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（2）绩效指标明确性</w:t>
      </w:r>
    </w:p>
    <w:p w14:paraId="27239020">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14:paraId="6A5FAF4C">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14:paraId="0AEDFAAB">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3.资金投入</w:t>
      </w:r>
    </w:p>
    <w:p w14:paraId="4DB37DEA">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（1）预算编制科学性</w:t>
      </w:r>
    </w:p>
    <w:p w14:paraId="1989C59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3A7761B6">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6BC4CCA7">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14:paraId="223B8FEE">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14:paraId="592250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6168C8A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1B5666A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160EE99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14:paraId="6BAACD08">
      <w:pPr>
        <w:pStyle w:val="9"/>
        <w:numPr>
          <w:ilvl w:val="0"/>
          <w:numId w:val="4"/>
        </w:numPr>
        <w:spacing w:before="0" w:after="0" w:line="560" w:lineRule="exact"/>
        <w:ind w:firstLine="643" w:firstLineChars="200"/>
        <w:jc w:val="both"/>
        <w:rPr>
          <w:rFonts w:hint="default" w:ascii="Times New Roman" w:hAnsi="Times New Roman" w:eastAsia="楷体" w:cs="Times New Roman"/>
          <w:highlight w:val="none"/>
        </w:rPr>
      </w:pPr>
      <w:bookmarkStart w:id="10" w:name="OLE_LINK25"/>
      <w:r>
        <w:rPr>
          <w:rFonts w:hint="default" w:ascii="Times New Roman" w:hAnsi="Times New Roman" w:eastAsia="楷体" w:cs="Times New Roman"/>
          <w:highlight w:val="none"/>
        </w:rPr>
        <w:t>项目过程情况</w:t>
      </w:r>
    </w:p>
    <w:p w14:paraId="759E797C">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项目过程类指标包括资金管理和组织实施两方面的内容，由5个三级指标构成，权重分值为20分，实际得分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1BB91BDE">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14:paraId="5D8F954C">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14:paraId="084E5C35">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1.94</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14:paraId="6A392865">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p>
    <w:p w14:paraId="55A0DDCC">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14:paraId="77D3E51A">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1.94</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02ADB219">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p>
    <w:p w14:paraId="798CED76">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（3）资金使用合规性</w:t>
      </w:r>
    </w:p>
    <w:p w14:paraId="53EF1CA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14:paraId="76E2973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619BAC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0DF6867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14:paraId="17050AD4">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14:paraId="78193B4D">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14:paraId="08A39BA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5B27CEC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14:paraId="6637642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11B0D32D">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0B6B190C">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14:paraId="76DFA22E">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（2）制度执行有效性</w:t>
      </w:r>
    </w:p>
    <w:p w14:paraId="4925F78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highlight w:val="none"/>
          <w:lang w:val="en-US" w:eastAsia="zh-CN"/>
        </w:rPr>
        <w:t>单位</w:t>
      </w:r>
      <w:r>
        <w:rPr>
          <w:rFonts w:hint="default" w:ascii="Times New Roman" w:hAnsi="Times New Roman" w:eastAsia="仿宋_GB2312" w:cs="Times New Roman"/>
          <w:sz w:val="32"/>
          <w:szCs w:val="32"/>
          <w:highlight w:val="none"/>
          <w:lang w:eastAsia="zh-CN"/>
        </w:rPr>
        <w:t>重视制度执行的重要性，通过明确责任分工、制定详细执行计划、加强监督考核等措施，确保了各项管理制度能够得到有效执行。</w:t>
      </w:r>
    </w:p>
    <w:p w14:paraId="2F430B8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6E1AAE8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综上所述，本项目的管理制度在执行过程中表现出了高度的有效性，既确保了项目的顺利进行，又实现了项目目标的有效达成。</w:t>
      </w:r>
    </w:p>
    <w:p w14:paraId="214E21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bookmarkEnd w:id="10"/>
    </w:p>
    <w:p w14:paraId="0274002E">
      <w:pPr>
        <w:pStyle w:val="10"/>
        <w:numPr>
          <w:ilvl w:val="0"/>
          <w:numId w:val="4"/>
        </w:numPr>
        <w:spacing w:line="560" w:lineRule="exact"/>
        <w:ind w:firstLine="643"/>
        <w:rPr>
          <w:rFonts w:hint="default" w:ascii="Times New Roman" w:hAnsi="Times New Roman" w:eastAsia="楷体_GB2312" w:cs="Times New Roman"/>
          <w:b/>
          <w:bCs/>
          <w:sz w:val="32"/>
          <w:szCs w:val="32"/>
          <w:highlight w:val="none"/>
        </w:rPr>
      </w:pPr>
      <w:bookmarkStart w:id="11" w:name="OLE_LINK26"/>
      <w:r>
        <w:rPr>
          <w:rFonts w:hint="default" w:ascii="Times New Roman" w:hAnsi="Times New Roman" w:eastAsia="楷体_GB2312" w:cs="Times New Roman"/>
          <w:b/>
          <w:bCs/>
          <w:sz w:val="32"/>
          <w:szCs w:val="32"/>
          <w:highlight w:val="none"/>
        </w:rPr>
        <w:t>项目产出</w:t>
      </w:r>
      <w:r>
        <w:rPr>
          <w:rFonts w:hint="default" w:ascii="Times New Roman" w:hAnsi="Times New Roman" w:eastAsia="楷体_GB2312" w:cs="Times New Roman"/>
          <w:b/>
          <w:bCs/>
          <w:sz w:val="32"/>
          <w:szCs w:val="32"/>
          <w:highlight w:val="none"/>
          <w:lang w:val="en-US" w:eastAsia="zh-CN"/>
        </w:rPr>
        <w:t>情况</w:t>
      </w:r>
    </w:p>
    <w:p w14:paraId="2737D45E">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39.48</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98.7</w:t>
      </w:r>
      <w:r>
        <w:rPr>
          <w:rFonts w:hint="default" w:ascii="Times New Roman" w:hAnsi="Times New Roman" w:eastAsia="仿宋_GB2312" w:cs="Times New Roman"/>
          <w:sz w:val="32"/>
          <w:szCs w:val="32"/>
          <w:highlight w:val="none"/>
          <w:lang w:val="en-US" w:eastAsia="zh-CN"/>
        </w:rPr>
        <w:t>%。具体产出指标完成情况如下：</w:t>
      </w:r>
    </w:p>
    <w:p w14:paraId="7D9403A3">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14:paraId="3593678C">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eastAsia="zh-CN"/>
        </w:rPr>
      </w:pPr>
      <w:bookmarkStart w:id="12" w:name="OLE_LINK2"/>
      <w:r>
        <w:rPr>
          <w:rFonts w:hint="default" w:ascii="Times New Roman" w:hAnsi="Times New Roman" w:eastAsia="仿宋_GB2312" w:cs="Times New Roman"/>
          <w:sz w:val="32"/>
          <w:szCs w:val="32"/>
          <w:highlight w:val="none"/>
        </w:rPr>
        <w:t>指标1：</w:t>
      </w:r>
      <w:bookmarkEnd w:id="12"/>
      <w:r>
        <w:rPr>
          <w:rFonts w:hint="default" w:ascii="Times New Roman" w:hAnsi="Times New Roman" w:eastAsia="仿宋_GB2312" w:cs="Times New Roman"/>
          <w:sz w:val="32"/>
          <w:szCs w:val="32"/>
          <w:highlight w:val="none"/>
        </w:rPr>
        <w:t>参加自治州“三八”活动次数，指标值：&gt;=1次，实际完成值：=1次，指标完成率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3DED9F06">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：参加自治州第二届国通语展示大赛次数，指标值：&gt;=1次，实际完成值：=1次，指标完成率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7E2E7EE6">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：参加自治州“三八”活动天数，指标值：</w:t>
      </w:r>
      <w:bookmarkStart w:id="13" w:name="OLE_LINK5"/>
      <w:r>
        <w:rPr>
          <w:rFonts w:hint="default" w:ascii="Times New Roman" w:hAnsi="Times New Roman" w:eastAsia="仿宋_GB2312" w:cs="Times New Roman"/>
          <w:sz w:val="32"/>
          <w:szCs w:val="32"/>
          <w:highlight w:val="none"/>
        </w:rPr>
        <w:t>=1</w:t>
      </w:r>
      <w:r>
        <w:rPr>
          <w:rFonts w:hint="eastAsia" w:eastAsia="仿宋_GB2312" w:cs="Times New Roman"/>
          <w:sz w:val="32"/>
          <w:szCs w:val="32"/>
          <w:highlight w:val="none"/>
          <w:lang w:val="en-US" w:eastAsia="zh-CN"/>
        </w:rPr>
        <w:t>天</w:t>
      </w:r>
      <w:bookmarkEnd w:id="13"/>
      <w:r>
        <w:rPr>
          <w:rFonts w:hint="default" w:ascii="Times New Roman" w:hAnsi="Times New Roman" w:eastAsia="仿宋_GB2312" w:cs="Times New Roman"/>
          <w:sz w:val="32"/>
          <w:szCs w:val="32"/>
          <w:highlight w:val="none"/>
        </w:rPr>
        <w:t>，实际完成值：=1</w:t>
      </w:r>
      <w:r>
        <w:rPr>
          <w:rFonts w:hint="eastAsia" w:eastAsia="仿宋_GB2312" w:cs="Times New Roman"/>
          <w:sz w:val="32"/>
          <w:szCs w:val="32"/>
          <w:highlight w:val="none"/>
          <w:lang w:val="en-US" w:eastAsia="zh-CN"/>
        </w:rPr>
        <w:t>天</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1EB56680">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：参加自治州“三八”活动人数，指标值：=</w:t>
      </w:r>
      <w:r>
        <w:rPr>
          <w:rFonts w:hint="eastAsia" w:eastAsia="仿宋_GB2312" w:cs="Times New Roman"/>
          <w:sz w:val="32"/>
          <w:szCs w:val="32"/>
          <w:highlight w:val="none"/>
          <w:lang w:val="en-US" w:eastAsia="zh-CN"/>
        </w:rPr>
        <w:t>26人</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26人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098C649A">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rPr>
        <w:t>：参加自治州</w:t>
      </w:r>
      <w:r>
        <w:rPr>
          <w:rFonts w:hint="eastAsia" w:eastAsia="仿宋_GB2312" w:cs="Times New Roman"/>
          <w:sz w:val="32"/>
          <w:szCs w:val="32"/>
          <w:highlight w:val="none"/>
          <w:lang w:eastAsia="zh-CN"/>
        </w:rPr>
        <w:t>第二届</w:t>
      </w:r>
      <w:r>
        <w:rPr>
          <w:rFonts w:hint="default" w:ascii="Times New Roman" w:hAnsi="Times New Roman" w:eastAsia="仿宋_GB2312" w:cs="Times New Roman"/>
          <w:sz w:val="32"/>
          <w:szCs w:val="32"/>
          <w:highlight w:val="none"/>
        </w:rPr>
        <w:t>国通语展示大赛人数，指标值：=</w:t>
      </w:r>
      <w:r>
        <w:rPr>
          <w:rFonts w:hint="eastAsia" w:eastAsia="仿宋_GB2312" w:cs="Times New Roman"/>
          <w:sz w:val="32"/>
          <w:szCs w:val="32"/>
          <w:highlight w:val="none"/>
          <w:lang w:val="en-US" w:eastAsia="zh-CN"/>
        </w:rPr>
        <w:t>12人</w:t>
      </w:r>
      <w:r>
        <w:rPr>
          <w:rFonts w:hint="default" w:ascii="Times New Roman" w:hAnsi="Times New Roman" w:eastAsia="仿宋_GB2312" w:cs="Times New Roman"/>
          <w:sz w:val="32"/>
          <w:szCs w:val="32"/>
          <w:highlight w:val="none"/>
        </w:rPr>
        <w:t>，实际完成值：=1</w:t>
      </w:r>
      <w:r>
        <w:rPr>
          <w:rFonts w:hint="eastAsia" w:eastAsia="仿宋_GB2312" w:cs="Times New Roman"/>
          <w:sz w:val="32"/>
          <w:szCs w:val="32"/>
          <w:highlight w:val="none"/>
          <w:lang w:val="en-US" w:eastAsia="zh-CN"/>
        </w:rPr>
        <w:t>2人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52B018D4">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rPr>
        <w:t>：参加自治州</w:t>
      </w:r>
      <w:r>
        <w:rPr>
          <w:rFonts w:hint="eastAsia" w:eastAsia="仿宋_GB2312" w:cs="Times New Roman"/>
          <w:sz w:val="32"/>
          <w:szCs w:val="32"/>
          <w:highlight w:val="none"/>
          <w:lang w:eastAsia="zh-CN"/>
        </w:rPr>
        <w:t>第二届</w:t>
      </w:r>
      <w:r>
        <w:rPr>
          <w:rFonts w:hint="default" w:ascii="Times New Roman" w:hAnsi="Times New Roman" w:eastAsia="仿宋_GB2312" w:cs="Times New Roman"/>
          <w:sz w:val="32"/>
          <w:szCs w:val="32"/>
          <w:highlight w:val="none"/>
        </w:rPr>
        <w:t>国通语展示大赛天数，指标值：=1</w:t>
      </w:r>
      <w:r>
        <w:rPr>
          <w:rFonts w:hint="eastAsia" w:eastAsia="仿宋_GB2312" w:cs="Times New Roman"/>
          <w:sz w:val="32"/>
          <w:szCs w:val="32"/>
          <w:highlight w:val="none"/>
          <w:lang w:val="en-US" w:eastAsia="zh-CN"/>
        </w:rPr>
        <w:t>天</w:t>
      </w:r>
      <w:r>
        <w:rPr>
          <w:rFonts w:hint="default" w:ascii="Times New Roman" w:hAnsi="Times New Roman" w:eastAsia="仿宋_GB2312" w:cs="Times New Roman"/>
          <w:sz w:val="32"/>
          <w:szCs w:val="32"/>
          <w:highlight w:val="none"/>
        </w:rPr>
        <w:t>，实际完成值：=1</w:t>
      </w:r>
      <w:r>
        <w:rPr>
          <w:rFonts w:hint="eastAsia" w:eastAsia="仿宋_GB2312" w:cs="Times New Roman"/>
          <w:sz w:val="32"/>
          <w:szCs w:val="32"/>
          <w:highlight w:val="none"/>
          <w:lang w:val="en-US" w:eastAsia="zh-CN"/>
        </w:rPr>
        <w:t>天</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235DE57C">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7</w:t>
      </w:r>
      <w:r>
        <w:rPr>
          <w:rFonts w:hint="default" w:ascii="Times New Roman" w:hAnsi="Times New Roman" w:eastAsia="仿宋_GB2312" w:cs="Times New Roman"/>
          <w:sz w:val="32"/>
          <w:szCs w:val="32"/>
          <w:highlight w:val="none"/>
        </w:rPr>
        <w:t>：保障供暖面积，指标值：</w:t>
      </w:r>
      <w:bookmarkStart w:id="14" w:name="OLE_LINK6"/>
      <w:r>
        <w:rPr>
          <w:rFonts w:hint="default" w:ascii="Times New Roman" w:hAnsi="Times New Roman" w:eastAsia="仿宋_GB2312" w:cs="Times New Roman"/>
          <w:sz w:val="32"/>
          <w:szCs w:val="32"/>
          <w:highlight w:val="none"/>
        </w:rPr>
        <w:t>=164.98平方米</w:t>
      </w:r>
      <w:bookmarkEnd w:id="14"/>
      <w:r>
        <w:rPr>
          <w:rFonts w:hint="default" w:ascii="Times New Roman" w:hAnsi="Times New Roman" w:eastAsia="仿宋_GB2312" w:cs="Times New Roman"/>
          <w:sz w:val="32"/>
          <w:szCs w:val="32"/>
          <w:highlight w:val="none"/>
        </w:rPr>
        <w:t>，实际完成值：=1</w:t>
      </w:r>
      <w:r>
        <w:rPr>
          <w:rFonts w:hint="eastAsia" w:eastAsia="仿宋_GB2312" w:cs="Times New Roman"/>
          <w:sz w:val="32"/>
          <w:szCs w:val="32"/>
          <w:highlight w:val="none"/>
          <w:lang w:val="en-US" w:eastAsia="zh-CN"/>
        </w:rPr>
        <w:t>05.21</w:t>
      </w:r>
      <w:r>
        <w:rPr>
          <w:rFonts w:hint="default" w:ascii="Times New Roman" w:hAnsi="Times New Roman" w:eastAsia="仿宋_GB2312" w:cs="Times New Roman"/>
          <w:sz w:val="32"/>
          <w:szCs w:val="32"/>
          <w:highlight w:val="none"/>
        </w:rPr>
        <w:t>平方米，指标完成率</w:t>
      </w:r>
      <w:r>
        <w:rPr>
          <w:rFonts w:hint="eastAsia" w:eastAsia="仿宋_GB2312" w:cs="Times New Roman"/>
          <w:sz w:val="32"/>
          <w:szCs w:val="32"/>
          <w:highlight w:val="none"/>
          <w:lang w:val="en-US" w:eastAsia="zh-CN"/>
        </w:rPr>
        <w:t>63.77</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。偏差原因：根据实际情况保障供暖面积为105.21平方米。改进措施：下年度在项目开始前综合考量可能影响项目实施进度的因素做好应急计划，并在项目实施期间及时调整。</w:t>
      </w:r>
    </w:p>
    <w:p w14:paraId="7A8B97F0">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default" w:ascii="Times New Roman" w:hAnsi="Times New Roman" w:eastAsia="仿宋_GB2312" w:cs="Times New Roman"/>
          <w:sz w:val="32"/>
          <w:szCs w:val="32"/>
          <w:highlight w:val="none"/>
          <w:lang w:eastAsia="zh-CN"/>
        </w:rPr>
      </w:pPr>
      <w:r>
        <w:rPr>
          <w:rFonts w:hint="eastAsia" w:eastAsia="仿宋_GB2312" w:cs="Times New Roman"/>
          <w:spacing w:val="0"/>
          <w:sz w:val="32"/>
          <w:szCs w:val="32"/>
          <w:highlight w:val="none"/>
          <w:lang w:val="en-US" w:eastAsia="zh-CN"/>
        </w:rPr>
        <w:t>此项权重分值为10分，得分为9.48分</w:t>
      </w:r>
    </w:p>
    <w:p w14:paraId="7936028C">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14:paraId="626423B5">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eastAsia="zh-CN"/>
        </w:rPr>
      </w:pPr>
      <w:bookmarkStart w:id="15" w:name="OLE_LINK3"/>
      <w:r>
        <w:rPr>
          <w:rFonts w:hint="default" w:ascii="Times New Roman" w:hAnsi="Times New Roman" w:eastAsia="仿宋_GB2312" w:cs="Times New Roman"/>
          <w:sz w:val="32"/>
          <w:szCs w:val="32"/>
          <w:highlight w:val="none"/>
        </w:rPr>
        <w:t>指标1：</w:t>
      </w:r>
      <w:bookmarkEnd w:id="15"/>
      <w:r>
        <w:rPr>
          <w:rFonts w:hint="default" w:ascii="Times New Roman" w:hAnsi="Times New Roman" w:eastAsia="仿宋_GB2312" w:cs="Times New Roman"/>
          <w:sz w:val="32"/>
          <w:szCs w:val="32"/>
          <w:highlight w:val="none"/>
        </w:rPr>
        <w:t>参加自治州“三八”活动及第二届国通语展示大赛经费保障率</w:t>
      </w:r>
      <w:r>
        <w:rPr>
          <w:rFonts w:hint="eastAsia" w:eastAsia="仿宋_GB2312" w:cs="Times New Roman"/>
          <w:sz w:val="32"/>
          <w:szCs w:val="32"/>
          <w:highlight w:val="none"/>
          <w:lang w:eastAsia="zh-CN"/>
        </w:rPr>
        <w:t>，</w:t>
      </w:r>
      <w:bookmarkStart w:id="16" w:name="OLE_LINK4"/>
      <w:r>
        <w:rPr>
          <w:rFonts w:hint="default" w:ascii="Times New Roman" w:hAnsi="Times New Roman" w:eastAsia="仿宋_GB2312" w:cs="Times New Roman"/>
          <w:sz w:val="32"/>
          <w:szCs w:val="32"/>
          <w:highlight w:val="none"/>
        </w:rPr>
        <w:t>指标值：&gt;=95%，实际完成值：=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105.26</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bookmarkStart w:id="17" w:name="OLE_LINK15"/>
      <w:r>
        <w:rPr>
          <w:rFonts w:hint="default" w:ascii="Times New Roman" w:hAnsi="Times New Roman" w:eastAsia="仿宋_GB2312" w:cs="Times New Roman"/>
          <w:sz w:val="32"/>
          <w:szCs w:val="32"/>
          <w:highlight w:val="none"/>
          <w:lang w:eastAsia="zh-CN"/>
        </w:rPr>
        <w:t>参加自治州“三八”活动及第二届国通语展示大赛经费保障率为100%。改进措施：从严从高设置绩效指标。</w:t>
      </w:r>
      <w:bookmarkEnd w:id="17"/>
    </w:p>
    <w:p w14:paraId="11F0B6DB">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default" w:ascii="Times New Roman" w:hAnsi="Times New Roman" w:eastAsia="仿宋_GB2312" w:cs="Times New Roman"/>
          <w:color w:val="FF0000"/>
          <w:sz w:val="32"/>
          <w:szCs w:val="32"/>
          <w:highlight w:val="none"/>
          <w:lang w:val="en-US" w:eastAsia="zh-CN"/>
        </w:rPr>
      </w:pPr>
      <w:r>
        <w:rPr>
          <w:rFonts w:hint="eastAsia" w:eastAsia="仿宋_GB2312" w:cs="Times New Roman"/>
          <w:spacing w:val="0"/>
          <w:sz w:val="32"/>
          <w:szCs w:val="32"/>
          <w:highlight w:val="none"/>
          <w:lang w:val="en-US" w:eastAsia="zh-CN"/>
        </w:rPr>
        <w:t>此项权重分值为</w:t>
      </w:r>
      <w:r>
        <w:rPr>
          <w:rFonts w:hint="eastAsia" w:eastAsia="仿宋_GB2312" w:cs="Times New Roman"/>
          <w:color w:val="auto"/>
          <w:spacing w:val="0"/>
          <w:sz w:val="32"/>
          <w:szCs w:val="32"/>
          <w:highlight w:val="none"/>
          <w:lang w:val="en-US" w:eastAsia="zh-CN"/>
        </w:rPr>
        <w:t>10分，得分为10分</w:t>
      </w:r>
      <w:bookmarkEnd w:id="16"/>
    </w:p>
    <w:p w14:paraId="5B412226">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14:paraId="2647745D">
      <w:pPr>
        <w:shd w:val="clear" w:color="auto" w:fill="auto"/>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指标1：参加自治州“三八”活动完成时间</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指标值：2024年3月10日前，实际完成值：2024年3月</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rPr>
        <w:t>日，指标完成率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78E42B71">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：参加自治州第二届国通语大赛完成时间</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指标值：2024年</w:t>
      </w:r>
      <w:r>
        <w:rPr>
          <w:rFonts w:hint="eastAsia" w:eastAsia="仿宋_GB2312" w:cs="Times New Roman"/>
          <w:sz w:val="32"/>
          <w:szCs w:val="32"/>
          <w:highlight w:val="none"/>
          <w:lang w:val="en-US" w:eastAsia="zh-CN"/>
        </w:rPr>
        <w:t>8</w:t>
      </w:r>
      <w:r>
        <w:rPr>
          <w:rFonts w:hint="default" w:ascii="Times New Roman" w:hAnsi="Times New Roman" w:eastAsia="仿宋_GB2312" w:cs="Times New Roman"/>
          <w:sz w:val="32"/>
          <w:szCs w:val="32"/>
          <w:highlight w:val="none"/>
        </w:rPr>
        <w:t>月1日前，实际完成值：2024年</w:t>
      </w:r>
      <w:r>
        <w:rPr>
          <w:rFonts w:hint="eastAsia" w:eastAsia="仿宋_GB2312" w:cs="Times New Roman"/>
          <w:sz w:val="32"/>
          <w:szCs w:val="32"/>
          <w:highlight w:val="none"/>
          <w:lang w:val="en-US" w:eastAsia="zh-CN"/>
        </w:rPr>
        <w:t>7</w:t>
      </w:r>
      <w:r>
        <w:rPr>
          <w:rFonts w:hint="default" w:ascii="Times New Roman" w:hAnsi="Times New Roman" w:eastAsia="仿宋_GB2312" w:cs="Times New Roman"/>
          <w:sz w:val="32"/>
          <w:szCs w:val="32"/>
          <w:highlight w:val="none"/>
        </w:rPr>
        <w:t>月</w:t>
      </w:r>
      <w:r>
        <w:rPr>
          <w:rFonts w:hint="eastAsia"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rPr>
        <w:t>日，指标完成率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5875FB49">
      <w:pPr>
        <w:pageBreakBefore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pacing w:val="0"/>
          <w:sz w:val="32"/>
          <w:szCs w:val="32"/>
          <w:highlight w:val="none"/>
          <w:lang w:val="en-US" w:eastAsia="zh-CN"/>
        </w:rPr>
        <w:t>此项权重分值为10分，得分为10分</w:t>
      </w:r>
    </w:p>
    <w:p w14:paraId="127C3BC7">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14:paraId="4ACE25BE">
      <w:pPr>
        <w:shd w:val="clear" w:color="auto" w:fill="auto"/>
        <w:spacing w:line="600" w:lineRule="exact"/>
        <w:ind w:firstLine="640" w:firstLineChars="200"/>
        <w:outlineLvl w:val="0"/>
        <w:rPr>
          <w:rFonts w:hint="eastAsia" w:ascii="Times New Roman" w:hAnsi="Times New Roman" w:eastAsia="仿宋_GB2312" w:cs="Times New Roman"/>
          <w:sz w:val="32"/>
          <w:szCs w:val="32"/>
          <w:highlight w:val="none"/>
          <w:lang w:eastAsia="zh-CN"/>
        </w:rPr>
      </w:pPr>
      <w:bookmarkStart w:id="18" w:name="OLE_LINK8"/>
      <w:r>
        <w:rPr>
          <w:rFonts w:hint="default" w:ascii="Times New Roman" w:hAnsi="Times New Roman" w:eastAsia="仿宋_GB2312" w:cs="Times New Roman"/>
          <w:sz w:val="32"/>
          <w:szCs w:val="32"/>
          <w:highlight w:val="none"/>
        </w:rPr>
        <w:t>指标1：参加自治州“三八”妇女节系列纪念活动经费</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指标值：&lt;</w:t>
      </w:r>
      <w:bookmarkStart w:id="19" w:name="OLE_LINK7"/>
      <w:r>
        <w:rPr>
          <w:rFonts w:hint="default" w:ascii="Times New Roman" w:hAnsi="Times New Roman" w:eastAsia="仿宋_GB2312" w:cs="Times New Roman"/>
          <w:sz w:val="32"/>
          <w:szCs w:val="32"/>
          <w:highlight w:val="none"/>
        </w:rPr>
        <w:t>=14880元</w:t>
      </w:r>
      <w:bookmarkEnd w:id="19"/>
      <w:r>
        <w:rPr>
          <w:rFonts w:hint="default" w:ascii="Times New Roman" w:hAnsi="Times New Roman" w:eastAsia="仿宋_GB2312" w:cs="Times New Roman"/>
          <w:sz w:val="32"/>
          <w:szCs w:val="32"/>
          <w:highlight w:val="none"/>
        </w:rPr>
        <w:t>，实际完成值：=14880元，指标完成率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bookmarkEnd w:id="18"/>
    </w:p>
    <w:p w14:paraId="07462C74">
      <w:pPr>
        <w:shd w:val="clear" w:color="auto" w:fill="auto"/>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：2024-2025年办公区域取暖费</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指标值：&lt;=</w:t>
      </w:r>
      <w:r>
        <w:rPr>
          <w:rFonts w:hint="eastAsia" w:eastAsia="仿宋_GB2312" w:cs="Times New Roman"/>
          <w:sz w:val="32"/>
          <w:szCs w:val="32"/>
          <w:highlight w:val="none"/>
          <w:lang w:val="en-US" w:eastAsia="zh-CN"/>
        </w:rPr>
        <w:t>2262.07</w:t>
      </w:r>
      <w:r>
        <w:rPr>
          <w:rFonts w:hint="default" w:ascii="Times New Roman" w:hAnsi="Times New Roman" w:eastAsia="仿宋_GB2312" w:cs="Times New Roman"/>
          <w:sz w:val="32"/>
          <w:szCs w:val="32"/>
          <w:highlight w:val="none"/>
        </w:rPr>
        <w:t>元，实际完成值：=</w:t>
      </w:r>
      <w:r>
        <w:rPr>
          <w:rFonts w:hint="eastAsia" w:eastAsia="仿宋_GB2312" w:cs="Times New Roman"/>
          <w:sz w:val="32"/>
          <w:szCs w:val="32"/>
          <w:highlight w:val="none"/>
          <w:lang w:val="en-US" w:eastAsia="zh-CN"/>
        </w:rPr>
        <w:t>2262.07</w:t>
      </w:r>
      <w:r>
        <w:rPr>
          <w:rFonts w:hint="default" w:ascii="Times New Roman" w:hAnsi="Times New Roman" w:eastAsia="仿宋_GB2312" w:cs="Times New Roman"/>
          <w:sz w:val="32"/>
          <w:szCs w:val="32"/>
          <w:highlight w:val="none"/>
        </w:rPr>
        <w:t>元，指标完成率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5BA8C418">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：参加自治州第二届国通语展示大赛经费</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指标值：&lt;=</w:t>
      </w:r>
      <w:r>
        <w:rPr>
          <w:rFonts w:hint="eastAsia" w:eastAsia="仿宋_GB2312" w:cs="Times New Roman"/>
          <w:sz w:val="32"/>
          <w:szCs w:val="32"/>
          <w:highlight w:val="none"/>
          <w:lang w:val="en-US" w:eastAsia="zh-CN"/>
        </w:rPr>
        <w:t>2220</w:t>
      </w:r>
      <w:r>
        <w:rPr>
          <w:rFonts w:hint="default" w:ascii="Times New Roman" w:hAnsi="Times New Roman" w:eastAsia="仿宋_GB2312" w:cs="Times New Roman"/>
          <w:sz w:val="32"/>
          <w:szCs w:val="32"/>
          <w:highlight w:val="none"/>
        </w:rPr>
        <w:t>元，实际完成值：=</w:t>
      </w:r>
      <w:r>
        <w:rPr>
          <w:rFonts w:hint="eastAsia" w:eastAsia="仿宋_GB2312" w:cs="Times New Roman"/>
          <w:sz w:val="32"/>
          <w:szCs w:val="32"/>
          <w:highlight w:val="none"/>
          <w:lang w:val="en-US" w:eastAsia="zh-CN"/>
        </w:rPr>
        <w:t>2220</w:t>
      </w:r>
      <w:r>
        <w:rPr>
          <w:rFonts w:hint="default" w:ascii="Times New Roman" w:hAnsi="Times New Roman" w:eastAsia="仿宋_GB2312" w:cs="Times New Roman"/>
          <w:sz w:val="32"/>
          <w:szCs w:val="32"/>
          <w:highlight w:val="none"/>
        </w:rPr>
        <w:t>元，指标完成率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2B1CE0A2">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此项权重分值为10分，得分为10分。</w:t>
      </w:r>
      <w:bookmarkEnd w:id="11"/>
    </w:p>
    <w:p w14:paraId="2F686D56">
      <w:pPr>
        <w:pStyle w:val="10"/>
        <w:numPr>
          <w:ilvl w:val="0"/>
          <w:numId w:val="4"/>
        </w:numPr>
        <w:spacing w:line="560" w:lineRule="exact"/>
        <w:ind w:firstLine="643"/>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项目效益情况</w:t>
      </w:r>
    </w:p>
    <w:p w14:paraId="190BC40E">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14:paraId="6CC56F56">
      <w:pPr>
        <w:numPr>
          <w:ilvl w:val="0"/>
          <w:numId w:val="5"/>
        </w:num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实施效益</w:t>
      </w:r>
    </w:p>
    <w:p w14:paraId="34C78FE0">
      <w:pPr>
        <w:numPr>
          <w:ilvl w:val="0"/>
          <w:numId w:val="0"/>
        </w:num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社会效益指标：</w:t>
      </w:r>
    </w:p>
    <w:p w14:paraId="039BCBCC">
      <w:pPr>
        <w:shd w:val="clear" w:color="auto" w:fill="auto"/>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指标1：提高妇女参与社会建设的积极性，指标值：有所提高，实际完成值：有所提高，指标完成率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1934E4F7">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此项权重分值为10分，得分为10分。</w:t>
      </w:r>
    </w:p>
    <w:p w14:paraId="40229114">
      <w:pPr>
        <w:numPr>
          <w:ilvl w:val="0"/>
          <w:numId w:val="5"/>
        </w:numPr>
        <w:shd w:val="clear" w:color="auto" w:fill="auto"/>
        <w:spacing w:line="600" w:lineRule="exact"/>
        <w:ind w:left="0" w:leftChars="0" w:firstLine="640" w:firstLineChars="200"/>
        <w:outlineLvl w:val="0"/>
        <w:rPr>
          <w:rFonts w:hint="default" w:ascii="Times New Roman" w:hAnsi="Times New Roman" w:eastAsia="仿宋_GB2312" w:cs="Times New Roman"/>
          <w:sz w:val="32"/>
          <w:szCs w:val="32"/>
          <w:highlight w:val="none"/>
          <w:lang w:val="en-US" w:eastAsia="zh-CN"/>
        </w:rPr>
      </w:pPr>
      <w:bookmarkStart w:id="20" w:name="OLE_LINK27"/>
      <w:r>
        <w:rPr>
          <w:rFonts w:hint="default" w:ascii="Times New Roman" w:hAnsi="Times New Roman" w:eastAsia="仿宋_GB2312" w:cs="Times New Roman"/>
          <w:sz w:val="32"/>
          <w:szCs w:val="32"/>
          <w:highlight w:val="none"/>
          <w:lang w:val="en-US" w:eastAsia="zh-CN"/>
        </w:rPr>
        <w:t>满意度</w:t>
      </w:r>
    </w:p>
    <w:p w14:paraId="5864B72D">
      <w:pPr>
        <w:keepNext w:val="0"/>
        <w:keepLines w:val="0"/>
        <w:pageBreakBefore w:val="0"/>
        <w:widowControl w:val="0"/>
        <w:shd w:val="clear" w:color="auto" w:fill="auto"/>
        <w:kinsoku/>
        <w:wordWrap/>
        <w:overflowPunct/>
        <w:topLinePunct w:val="0"/>
        <w:autoSpaceDE/>
        <w:autoSpaceDN/>
        <w:bidi w:val="0"/>
        <w:adjustRightInd/>
        <w:snapToGrid/>
        <w:spacing w:line="560" w:lineRule="atLeas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pacing w:val="0"/>
          <w:sz w:val="32"/>
          <w:szCs w:val="32"/>
          <w:highlight w:val="none"/>
        </w:rPr>
        <w:t>指标1</w:t>
      </w:r>
      <w:r>
        <w:rPr>
          <w:rFonts w:hint="eastAsia" w:eastAsia="仿宋_GB2312" w:cs="Times New Roman"/>
          <w:spacing w:val="0"/>
          <w:sz w:val="32"/>
          <w:szCs w:val="32"/>
          <w:highlight w:val="none"/>
          <w:lang w:eastAsia="zh-CN"/>
        </w:rPr>
        <w:t>：</w:t>
      </w:r>
      <w:bookmarkStart w:id="21" w:name="OLE_LINK9"/>
      <w:r>
        <w:rPr>
          <w:rFonts w:hint="eastAsia" w:eastAsia="仿宋_GB2312" w:cs="Times New Roman"/>
          <w:spacing w:val="0"/>
          <w:sz w:val="32"/>
          <w:szCs w:val="32"/>
          <w:highlight w:val="none"/>
          <w:lang w:eastAsia="zh-CN"/>
        </w:rPr>
        <w:t>参与人员的满意度</w:t>
      </w:r>
      <w:bookmarkEnd w:id="21"/>
      <w:r>
        <w:rPr>
          <w:rFonts w:hint="eastAsia" w:eastAsia="仿宋_GB2312" w:cs="Times New Roman"/>
          <w:spacing w:val="0"/>
          <w:sz w:val="32"/>
          <w:szCs w:val="32"/>
          <w:highlight w:val="none"/>
          <w:lang w:eastAsia="zh-CN"/>
        </w:rPr>
        <w:t>，</w:t>
      </w:r>
      <w:r>
        <w:rPr>
          <w:rFonts w:hint="default" w:ascii="Times New Roman" w:hAnsi="Times New Roman" w:eastAsia="仿宋_GB2312" w:cs="Times New Roman"/>
          <w:spacing w:val="0"/>
          <w:sz w:val="32"/>
          <w:szCs w:val="32"/>
          <w:highlight w:val="none"/>
        </w:rPr>
        <w:t>指标值：</w:t>
      </w:r>
      <w:r>
        <w:rPr>
          <w:rFonts w:hint="eastAsia" w:eastAsia="仿宋_GB2312" w:cs="Times New Roman"/>
          <w:spacing w:val="0"/>
          <w:sz w:val="32"/>
          <w:szCs w:val="32"/>
          <w:highlight w:val="none"/>
          <w:lang w:val="en-US" w:eastAsia="zh-CN"/>
        </w:rPr>
        <w:t>&gt;=95%，</w:t>
      </w:r>
      <w:r>
        <w:rPr>
          <w:rFonts w:hint="default" w:ascii="Times New Roman" w:hAnsi="Times New Roman" w:eastAsia="仿宋_GB2312" w:cs="Times New Roman"/>
          <w:spacing w:val="0"/>
          <w:sz w:val="32"/>
          <w:szCs w:val="32"/>
          <w:highlight w:val="none"/>
        </w:rPr>
        <w:t>实际完成值：</w:t>
      </w:r>
      <w:r>
        <w:rPr>
          <w:rFonts w:hint="eastAsia" w:eastAsia="仿宋_GB2312" w:cs="Times New Roman"/>
          <w:spacing w:val="0"/>
          <w:sz w:val="32"/>
          <w:szCs w:val="32"/>
          <w:highlight w:val="none"/>
          <w:lang w:val="en-US" w:eastAsia="zh-CN"/>
        </w:rPr>
        <w:t>=100%，</w:t>
      </w:r>
      <w:r>
        <w:rPr>
          <w:rFonts w:hint="default" w:ascii="Times New Roman" w:hAnsi="Times New Roman" w:eastAsia="仿宋_GB2312" w:cs="Times New Roman"/>
          <w:spacing w:val="0"/>
          <w:sz w:val="32"/>
          <w:szCs w:val="32"/>
          <w:highlight w:val="none"/>
        </w:rPr>
        <w:t>指标完成率</w:t>
      </w:r>
      <w:r>
        <w:rPr>
          <w:rFonts w:hint="eastAsia" w:eastAsia="仿宋_GB2312" w:cs="Times New Roman"/>
          <w:spacing w:val="0"/>
          <w:sz w:val="32"/>
          <w:szCs w:val="32"/>
          <w:highlight w:val="none"/>
          <w:lang w:val="en-US" w:eastAsia="zh-CN"/>
        </w:rPr>
        <w:t>105.26</w:t>
      </w:r>
      <w:r>
        <w:rPr>
          <w:rFonts w:hint="default" w:ascii="Times New Roman" w:hAnsi="Times New Roman" w:eastAsia="仿宋_GB2312" w:cs="Times New Roman"/>
          <w:spacing w:val="0"/>
          <w:sz w:val="32"/>
          <w:szCs w:val="32"/>
          <w:highlight w:val="none"/>
        </w:rPr>
        <w:t>%</w:t>
      </w:r>
      <w:r>
        <w:rPr>
          <w:rFonts w:hint="eastAsia" w:eastAsia="仿宋_GB2312" w:cs="Times New Roman"/>
          <w:spacing w:val="0"/>
          <w:sz w:val="32"/>
          <w:szCs w:val="32"/>
          <w:highlight w:val="none"/>
          <w:lang w:eastAsia="zh-CN"/>
        </w:rPr>
        <w:t>。</w:t>
      </w:r>
      <w:bookmarkStart w:id="22" w:name="OLE_LINK10"/>
      <w:r>
        <w:rPr>
          <w:rFonts w:hint="eastAsia" w:eastAsia="仿宋_GB2312" w:cs="Times New Roman"/>
          <w:spacing w:val="0"/>
          <w:sz w:val="32"/>
          <w:szCs w:val="32"/>
          <w:highlight w:val="none"/>
          <w:lang w:eastAsia="zh-CN"/>
        </w:rPr>
        <w:t>偏差原因：</w:t>
      </w:r>
      <w:bookmarkStart w:id="23" w:name="OLE_LINK11"/>
      <w:r>
        <w:rPr>
          <w:rFonts w:hint="eastAsia" w:eastAsia="仿宋_GB2312" w:cs="Times New Roman"/>
          <w:spacing w:val="0"/>
          <w:sz w:val="32"/>
          <w:szCs w:val="32"/>
          <w:highlight w:val="none"/>
          <w:lang w:eastAsia="zh-CN"/>
        </w:rPr>
        <w:t>参与人员的满意度为100%。改进措施：从严从高设置绩效指标。</w:t>
      </w:r>
      <w:bookmarkEnd w:id="22"/>
      <w:bookmarkEnd w:id="23"/>
    </w:p>
    <w:p w14:paraId="2BD051A2">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此项权重分值为10分，得分为10分。</w:t>
      </w:r>
      <w:bookmarkEnd w:id="20"/>
    </w:p>
    <w:p w14:paraId="752AFB7A">
      <w:pPr>
        <w:spacing w:line="560" w:lineRule="exact"/>
        <w:ind w:firstLine="643" w:firstLineChars="200"/>
        <w:rPr>
          <w:rFonts w:hint="default" w:ascii="Times New Roman" w:hAnsi="Times New Roman" w:eastAsia="楷体_GB2312" w:cs="Times New Roman"/>
          <w:b/>
          <w:bCs/>
          <w:sz w:val="32"/>
          <w:szCs w:val="32"/>
          <w:highlight w:val="none"/>
          <w:lang w:val="en-US"/>
        </w:rPr>
      </w:pPr>
      <w:r>
        <w:rPr>
          <w:rFonts w:hint="default" w:ascii="Times New Roman" w:hAnsi="Times New Roman" w:eastAsia="楷体_GB2312" w:cs="Times New Roman"/>
          <w:b/>
          <w:bCs/>
          <w:sz w:val="32"/>
          <w:szCs w:val="32"/>
          <w:highlight w:val="none"/>
          <w:lang w:val="en-US" w:eastAsia="zh-CN"/>
        </w:rPr>
        <w:t>（五）</w:t>
      </w:r>
      <w:r>
        <w:rPr>
          <w:rFonts w:hint="default" w:ascii="Times New Roman" w:hAnsi="Times New Roman" w:eastAsia="楷体_GB2312" w:cs="Times New Roman"/>
          <w:b/>
          <w:bCs/>
          <w:sz w:val="32"/>
          <w:szCs w:val="32"/>
          <w:highlight w:val="none"/>
          <w:lang w:val="en-US"/>
        </w:rPr>
        <w:t>预算执行进度与绩效指标总体完成率偏差</w:t>
      </w:r>
    </w:p>
    <w:p w14:paraId="2B139E6E">
      <w:pPr>
        <w:pStyle w:val="20"/>
        <w:spacing w:line="560" w:lineRule="exact"/>
        <w:ind w:firstLine="640"/>
        <w:rPr>
          <w:rFonts w:hint="default" w:ascii="Times New Roman" w:hAnsi="Times New Roman" w:eastAsia="方正仿宋_GBK" w:cs="Times New Roman"/>
          <w:sz w:val="32"/>
          <w:szCs w:val="32"/>
          <w:highlight w:val="none"/>
          <w:lang w:val="en-US"/>
        </w:rPr>
      </w:pPr>
      <w:r>
        <w:rPr>
          <w:rFonts w:hint="eastAsia" w:eastAsia="方正仿宋_GBK" w:cs="Times New Roman"/>
          <w:sz w:val="32"/>
          <w:szCs w:val="32"/>
          <w:highlight w:val="none"/>
          <w:lang w:val="en-US" w:eastAsia="zh-CN"/>
        </w:rPr>
        <w:t>博湖县妇女儿童工作经费</w:t>
      </w:r>
      <w:r>
        <w:rPr>
          <w:rFonts w:hint="default" w:ascii="Times New Roman" w:hAnsi="Times New Roman" w:eastAsia="方正仿宋_GBK" w:cs="Times New Roman"/>
          <w:sz w:val="32"/>
          <w:szCs w:val="32"/>
          <w:highlight w:val="none"/>
        </w:rPr>
        <w:t>年初预算</w:t>
      </w:r>
      <w:r>
        <w:rPr>
          <w:rFonts w:hint="eastAsia" w:eastAsia="方正仿宋_GBK" w:cs="Times New Roman"/>
          <w:sz w:val="32"/>
          <w:szCs w:val="32"/>
          <w:highlight w:val="none"/>
          <w:lang w:val="en-US" w:eastAsia="zh-CN"/>
        </w:rPr>
        <w:t>1.94</w:t>
      </w:r>
      <w:r>
        <w:rPr>
          <w:rFonts w:hint="default" w:ascii="Times New Roman" w:hAnsi="Times New Roman" w:eastAsia="方正仿宋_GBK" w:cs="Times New Roman"/>
          <w:sz w:val="32"/>
          <w:szCs w:val="32"/>
          <w:highlight w:val="none"/>
        </w:rPr>
        <w:t>万元，全年预算</w:t>
      </w:r>
      <w:r>
        <w:rPr>
          <w:rFonts w:hint="eastAsia" w:eastAsia="方正仿宋_GBK" w:cs="Times New Roman"/>
          <w:sz w:val="32"/>
          <w:szCs w:val="32"/>
          <w:highlight w:val="none"/>
          <w:lang w:val="en-US" w:eastAsia="zh-CN"/>
        </w:rPr>
        <w:t>1.94</w:t>
      </w:r>
      <w:r>
        <w:rPr>
          <w:rFonts w:hint="default" w:ascii="Times New Roman" w:hAnsi="Times New Roman" w:eastAsia="方正仿宋_GBK" w:cs="Times New Roman"/>
          <w:sz w:val="32"/>
          <w:szCs w:val="32"/>
          <w:highlight w:val="none"/>
        </w:rPr>
        <w:t>万元，实际支出</w:t>
      </w:r>
      <w:r>
        <w:rPr>
          <w:rFonts w:hint="eastAsia" w:eastAsia="方正仿宋_GBK" w:cs="Times New Roman"/>
          <w:sz w:val="32"/>
          <w:szCs w:val="32"/>
          <w:highlight w:val="none"/>
          <w:lang w:val="en-US" w:eastAsia="zh-CN"/>
        </w:rPr>
        <w:t>1.94</w:t>
      </w:r>
      <w:r>
        <w:rPr>
          <w:rFonts w:hint="default" w:ascii="Times New Roman" w:hAnsi="Times New Roman" w:eastAsia="方正仿宋_GBK" w:cs="Times New Roman"/>
          <w:sz w:val="32"/>
          <w:szCs w:val="32"/>
          <w:highlight w:val="none"/>
        </w:rPr>
        <w:t>万元，预算执行率为</w:t>
      </w:r>
      <w:r>
        <w:rPr>
          <w:rFonts w:hint="eastAsia" w:eastAsia="方正仿宋_GBK" w:cs="Times New Roman"/>
          <w:sz w:val="32"/>
          <w:szCs w:val="32"/>
          <w:highlight w:val="none"/>
          <w:lang w:val="en-US" w:eastAsia="zh-CN"/>
        </w:rPr>
        <w:t>100</w:t>
      </w:r>
      <w:r>
        <w:rPr>
          <w:rFonts w:hint="default" w:ascii="Times New Roman" w:hAnsi="Times New Roman" w:eastAsia="方正仿宋_GBK" w:cs="Times New Roman"/>
          <w:sz w:val="32"/>
          <w:szCs w:val="32"/>
          <w:highlight w:val="none"/>
        </w:rPr>
        <w:t>%，项目绩效指标总体完成率为</w:t>
      </w:r>
      <w:r>
        <w:rPr>
          <w:rFonts w:hint="eastAsia" w:eastAsia="方正仿宋_GBK" w:cs="Times New Roman"/>
          <w:sz w:val="32"/>
          <w:szCs w:val="32"/>
          <w:highlight w:val="none"/>
          <w:lang w:val="en-US" w:eastAsia="zh-CN"/>
        </w:rPr>
        <w:t>98.29</w:t>
      </w:r>
      <w:r>
        <w:rPr>
          <w:rFonts w:hint="default" w:ascii="Times New Roman" w:hAnsi="Times New Roman" w:eastAsia="方正仿宋_GBK" w:cs="Times New Roman"/>
          <w:sz w:val="32"/>
          <w:szCs w:val="32"/>
          <w:highlight w:val="none"/>
        </w:rPr>
        <w:t>%，总体偏差率为</w:t>
      </w:r>
      <w:r>
        <w:rPr>
          <w:rFonts w:hint="eastAsia" w:eastAsia="方正仿宋_GBK" w:cs="Times New Roman"/>
          <w:sz w:val="32"/>
          <w:szCs w:val="32"/>
          <w:highlight w:val="none"/>
          <w:lang w:val="en-US" w:eastAsia="zh-CN"/>
        </w:rPr>
        <w:t>1.71</w:t>
      </w:r>
      <w:r>
        <w:rPr>
          <w:rFonts w:hint="default" w:ascii="Times New Roman" w:hAnsi="Times New Roman" w:eastAsia="方正仿宋_GBK" w:cs="Times New Roman"/>
          <w:sz w:val="32"/>
          <w:szCs w:val="32"/>
          <w:highlight w:val="none"/>
        </w:rPr>
        <w:t>%</w:t>
      </w:r>
      <w:r>
        <w:rPr>
          <w:rFonts w:hint="eastAsia" w:cs="Times New Roman"/>
          <w:highlight w:val="none"/>
          <w:lang w:eastAsia="zh-CN"/>
        </w:rPr>
        <w:t>。</w:t>
      </w:r>
      <w:r>
        <w:rPr>
          <w:rFonts w:hint="eastAsia" w:eastAsia="方正仿宋_GBK" w:cs="Times New Roman"/>
          <w:sz w:val="32"/>
          <w:szCs w:val="32"/>
          <w:highlight w:val="none"/>
          <w:lang w:val="en-US" w:eastAsia="zh-CN"/>
        </w:rPr>
        <w:t>偏差原因：</w:t>
      </w:r>
      <w:bookmarkStart w:id="24" w:name="OLE_LINK14"/>
      <w:r>
        <w:rPr>
          <w:rFonts w:hint="eastAsia" w:eastAsia="方正仿宋_GBK" w:cs="Times New Roman"/>
          <w:sz w:val="32"/>
          <w:szCs w:val="32"/>
          <w:highlight w:val="none"/>
          <w:lang w:val="en-US" w:eastAsia="zh-CN"/>
        </w:rPr>
        <w:t>根据实际情况保障供暖面积为105.21平方米。改进措施：下年度在项目开始前综合考量可能影响项目实施进度的因素做好应急计划，并在项目实施期间及时调整。</w:t>
      </w:r>
      <w:bookmarkEnd w:id="24"/>
    </w:p>
    <w:p w14:paraId="436EF190">
      <w:pPr>
        <w:spacing w:line="560" w:lineRule="exact"/>
        <w:ind w:firstLine="640" w:firstLineChars="200"/>
        <w:rPr>
          <w:rStyle w:val="19"/>
          <w:rFonts w:hint="default" w:ascii="Times New Roman" w:hAnsi="Times New Roman" w:cs="Times New Roman"/>
          <w:color w:val="auto"/>
          <w:highlight w:val="none"/>
        </w:rPr>
      </w:pPr>
      <w:r>
        <w:rPr>
          <w:rFonts w:hint="eastAsia" w:eastAsia="黑体" w:cs="Times New Roman"/>
          <w:sz w:val="32"/>
          <w:szCs w:val="32"/>
          <w:highlight w:val="none"/>
          <w:lang w:val="en-US" w:eastAsia="zh-CN"/>
        </w:rPr>
        <w:t>五</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黑体" w:cs="Times New Roman"/>
          <w:sz w:val="32"/>
          <w:szCs w:val="32"/>
          <w:highlight w:val="none"/>
        </w:rPr>
        <w:t>主要经验及做法、存在的问题及原因分析</w:t>
      </w:r>
    </w:p>
    <w:p w14:paraId="5BDF50B4">
      <w:pPr>
        <w:spacing w:line="560" w:lineRule="exact"/>
        <w:ind w:firstLine="627" w:firstLineChars="200"/>
        <w:rPr>
          <w:rFonts w:hint="default" w:ascii="Times New Roman" w:hAnsi="Times New Roman" w:eastAsia="楷体" w:cs="Times New Roman"/>
          <w:b/>
          <w:spacing w:val="-4"/>
          <w:sz w:val="32"/>
          <w:szCs w:val="32"/>
          <w:highlight w:val="none"/>
        </w:rPr>
      </w:pPr>
      <w:r>
        <w:rPr>
          <w:rFonts w:hint="default" w:ascii="Times New Roman" w:hAnsi="Times New Roman" w:eastAsia="楷体" w:cs="Times New Roman"/>
          <w:b/>
          <w:spacing w:val="-4"/>
          <w:sz w:val="32"/>
          <w:szCs w:val="32"/>
          <w:highlight w:val="none"/>
        </w:rPr>
        <w:t>（一）主要经验及做法</w:t>
      </w:r>
    </w:p>
    <w:p w14:paraId="05E5C88D">
      <w:pPr>
        <w:spacing w:line="560" w:lineRule="exact"/>
        <w:ind w:firstLine="640" w:firstLineChars="200"/>
        <w:rPr>
          <w:rFonts w:hint="default" w:ascii="Times New Roman" w:hAnsi="Times New Roman" w:eastAsia="仿宋_GB2312" w:cs="Times New Roman"/>
          <w:sz w:val="32"/>
          <w:szCs w:val="32"/>
          <w:highlight w:val="none"/>
        </w:rPr>
      </w:pPr>
      <w:bookmarkStart w:id="25" w:name="OLE_LINK16"/>
      <w:r>
        <w:rPr>
          <w:rFonts w:hint="default" w:ascii="Times New Roman" w:hAnsi="Times New Roman" w:eastAsia="仿宋_GB2312" w:cs="Times New Roman"/>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4ABA849C">
      <w:pPr>
        <w:pStyle w:val="9"/>
        <w:spacing w:before="0" w:after="0" w:line="560" w:lineRule="exact"/>
        <w:ind w:firstLine="640" w:firstLineChars="200"/>
        <w:jc w:val="left"/>
        <w:rPr>
          <w:rFonts w:hint="default" w:ascii="Times New Roman" w:hAnsi="Times New Roman" w:eastAsia="仿宋_GB2312" w:cs="Times New Roman"/>
          <w:b w:val="0"/>
          <w:bCs w:val="0"/>
          <w:kern w:val="2"/>
          <w:highlight w:val="none"/>
        </w:rPr>
      </w:pPr>
      <w:r>
        <w:rPr>
          <w:rFonts w:hint="default" w:ascii="Times New Roman" w:hAnsi="Times New Roman" w:eastAsia="仿宋_GB2312" w:cs="Times New Roman"/>
          <w:b w:val="0"/>
          <w:bCs w:val="0"/>
          <w:kern w:val="2"/>
          <w:highlight w:val="none"/>
        </w:rPr>
        <w:t>严格坚持先做事、后验收、再拨付的原则，</w:t>
      </w:r>
      <w:r>
        <w:rPr>
          <w:rFonts w:hint="eastAsia" w:ascii="Times New Roman" w:hAnsi="Times New Roman" w:eastAsia="仿宋_GB2312" w:cs="Times New Roman"/>
          <w:b w:val="0"/>
          <w:bCs w:val="0"/>
          <w:kern w:val="2"/>
          <w:highlight w:val="none"/>
          <w:lang w:eastAsia="zh-CN"/>
        </w:rPr>
        <w:t>杜绝</w:t>
      </w:r>
      <w:r>
        <w:rPr>
          <w:rFonts w:hint="default" w:ascii="Times New Roman" w:hAnsi="Times New Roman" w:eastAsia="仿宋_GB2312" w:cs="Times New Roman"/>
          <w:b w:val="0"/>
          <w:bCs w:val="0"/>
          <w:kern w:val="2"/>
          <w:highlight w:val="none"/>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bookmarkEnd w:id="25"/>
    </w:p>
    <w:p w14:paraId="11F13731">
      <w:pPr>
        <w:keepNext/>
        <w:keepLines/>
        <w:numPr>
          <w:ilvl w:val="0"/>
          <w:numId w:val="6"/>
        </w:num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存在的问题及原因分析</w:t>
      </w:r>
    </w:p>
    <w:p w14:paraId="604D04C8">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bookmarkStart w:id="26" w:name="OLE_LINK17"/>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w:t>
      </w:r>
      <w:r>
        <w:rPr>
          <w:rFonts w:hint="eastAsia" w:eastAsia="仿宋_GB2312" w:cs="Times New Roman"/>
          <w:sz w:val="32"/>
          <w:szCs w:val="32"/>
          <w:highlight w:val="none"/>
          <w:lang w:val="en-US" w:eastAsia="zh-CN"/>
        </w:rPr>
        <w:t>由于</w:t>
      </w:r>
      <w:r>
        <w:rPr>
          <w:rFonts w:hint="default" w:ascii="Times New Roman" w:hAnsi="Times New Roman" w:eastAsia="仿宋_GB2312" w:cs="Times New Roman"/>
          <w:sz w:val="32"/>
          <w:szCs w:val="32"/>
          <w:highlight w:val="none"/>
          <w:lang w:val="en-US" w:eastAsia="zh-CN"/>
        </w:rPr>
        <w:t>部分人员缺乏相关绩效管理专业知识，自评价工作还存在自我审定的局限性，影响评价质量。</w:t>
      </w:r>
    </w:p>
    <w:p w14:paraId="14BAFBB3">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2.因轮岗、调动</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因素使我单位绩效工作人员流动频繁，</w:t>
      </w:r>
      <w:r>
        <w:rPr>
          <w:rFonts w:hint="eastAsia" w:ascii="Times New Roman" w:hAnsi="Times New Roman" w:eastAsia="仿宋_GB2312" w:cs="Times New Roman"/>
          <w:sz w:val="32"/>
          <w:szCs w:val="32"/>
          <w:highlight w:val="none"/>
          <w:lang w:val="en-US" w:eastAsia="zh-CN"/>
        </w:rPr>
        <w:t>造成</w:t>
      </w:r>
      <w:r>
        <w:rPr>
          <w:rFonts w:hint="default" w:ascii="Times New Roman" w:hAnsi="Times New Roman" w:eastAsia="仿宋_GB2312" w:cs="Times New Roman"/>
          <w:sz w:val="32"/>
          <w:szCs w:val="32"/>
          <w:highlight w:val="none"/>
          <w:lang w:val="en-US" w:eastAsia="zh-CN"/>
        </w:rPr>
        <w:t>工作衔接不到位的情况。</w:t>
      </w:r>
      <w:bookmarkEnd w:id="26"/>
    </w:p>
    <w:p w14:paraId="43113E7A">
      <w:pPr>
        <w:spacing w:line="560" w:lineRule="exact"/>
        <w:ind w:firstLine="640" w:firstLineChars="200"/>
        <w:rPr>
          <w:rFonts w:hint="default" w:ascii="Times New Roman" w:hAnsi="Times New Roman" w:eastAsia="黑体" w:cs="Times New Roman"/>
          <w:sz w:val="32"/>
          <w:szCs w:val="32"/>
          <w:highlight w:val="none"/>
        </w:rPr>
      </w:pPr>
      <w:r>
        <w:rPr>
          <w:rFonts w:hint="eastAsia" w:ascii="Times New Roman" w:hAnsi="Times New Roman" w:eastAsia="黑体" w:cs="Times New Roman"/>
          <w:sz w:val="32"/>
          <w:szCs w:val="32"/>
          <w:highlight w:val="none"/>
          <w:lang w:val="en-US" w:eastAsia="zh-CN"/>
        </w:rPr>
        <w:t>六</w:t>
      </w:r>
      <w:r>
        <w:rPr>
          <w:rFonts w:hint="default" w:ascii="Times New Roman" w:hAnsi="Times New Roman" w:eastAsia="黑体" w:cs="Times New Roman"/>
          <w:sz w:val="32"/>
          <w:szCs w:val="32"/>
          <w:highlight w:val="none"/>
          <w:lang w:val="en-US" w:eastAsia="zh-CN"/>
        </w:rPr>
        <w:t>.</w:t>
      </w:r>
      <w:r>
        <w:rPr>
          <w:rFonts w:hint="default" w:ascii="Times New Roman" w:hAnsi="Times New Roman" w:eastAsia="黑体" w:cs="Times New Roman"/>
          <w:sz w:val="32"/>
          <w:szCs w:val="32"/>
          <w:highlight w:val="none"/>
        </w:rPr>
        <w:t>有关建议</w:t>
      </w:r>
    </w:p>
    <w:p w14:paraId="56F1CA51">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1.专门设定对绩效工作人员定职、定岗、定责等相关制度措施，进一步提升我单位绩效管理工作业务水平，扎实做好绩效管理工作。</w:t>
      </w:r>
    </w:p>
    <w:p w14:paraId="1B6324A9">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69E071CC">
      <w:pPr>
        <w:shd w:val="clear" w:color="auto" w:fill="auto"/>
        <w:spacing w:line="600" w:lineRule="exact"/>
        <w:ind w:firstLine="640" w:firstLineChars="200"/>
        <w:outlineLvl w:val="0"/>
        <w:rPr>
          <w:rFonts w:hint="default" w:ascii="Times New Roman" w:hAnsi="Times New Roman" w:cs="Times New Roman"/>
          <w:sz w:val="22"/>
          <w:szCs w:val="28"/>
          <w:highlight w:val="none"/>
        </w:rPr>
      </w:pP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6"/>
          <w:szCs w:val="32"/>
          <w:highlight w:val="none"/>
        </w:rPr>
        <w:t>。</w:t>
      </w:r>
    </w:p>
    <w:p w14:paraId="26FFE9EA">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val="en-US" w:eastAsia="zh-CN"/>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035A7C84">
      <w:pPr>
        <w:spacing w:line="560" w:lineRule="exact"/>
        <w:ind w:firstLine="640" w:firstLineChars="200"/>
        <w:rPr>
          <w:rFonts w:hint="default" w:ascii="Times New Roman" w:hAnsi="Times New Roman" w:eastAsia="黑体" w:cs="Times New Roman"/>
          <w:sz w:val="32"/>
          <w:szCs w:val="32"/>
          <w:highlight w:val="none"/>
        </w:rPr>
      </w:pPr>
      <w:r>
        <w:rPr>
          <w:rFonts w:hint="eastAsia" w:eastAsia="黑体" w:cs="Times New Roman"/>
          <w:sz w:val="32"/>
          <w:szCs w:val="32"/>
          <w:highlight w:val="none"/>
          <w:lang w:val="en-US" w:eastAsia="zh-CN"/>
        </w:rPr>
        <w:t>七</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黑体" w:cs="Times New Roman"/>
          <w:sz w:val="32"/>
          <w:szCs w:val="32"/>
          <w:highlight w:val="none"/>
        </w:rPr>
        <w:t>其他需要说</w:t>
      </w:r>
      <w:bookmarkStart w:id="27" w:name="page8"/>
      <w:bookmarkEnd w:id="27"/>
      <w:r>
        <w:rPr>
          <w:rFonts w:hint="default" w:ascii="Times New Roman" w:hAnsi="Times New Roman" w:eastAsia="黑体" w:cs="Times New Roman"/>
          <w:sz w:val="32"/>
          <w:szCs w:val="32"/>
          <w:highlight w:val="none"/>
        </w:rPr>
        <w:t>明的问题</w:t>
      </w:r>
    </w:p>
    <w:p w14:paraId="2AF14E96">
      <w:pPr>
        <w:pStyle w:val="11"/>
        <w:spacing w:after="0" w:line="560" w:lineRule="exact"/>
        <w:ind w:left="0" w:leftChars="0" w:firstLine="64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本项目无其他需说明的问题。</w:t>
      </w:r>
    </w:p>
    <w:p w14:paraId="56BA96E6">
      <w:pPr>
        <w:pStyle w:val="11"/>
        <w:spacing w:after="0" w:line="560" w:lineRule="exact"/>
        <w:ind w:left="0" w:leftChars="0" w:firstLine="640"/>
        <w:rPr>
          <w:rFonts w:hint="eastAsia" w:ascii="Times New Roman" w:hAnsi="Times New Roman" w:eastAsia="仿宋_GB2312" w:cs="Times New Roman"/>
          <w:sz w:val="32"/>
          <w:szCs w:val="32"/>
          <w:highlight w:val="none"/>
          <w:lang w:eastAsia="zh-CN"/>
        </w:rPr>
      </w:pPr>
    </w:p>
    <w:p w14:paraId="355FC188">
      <w:pPr>
        <w:pStyle w:val="11"/>
        <w:spacing w:after="0" w:line="560" w:lineRule="exact"/>
        <w:ind w:left="0" w:leftChars="0" w:firstLine="640"/>
        <w:rPr>
          <w:rFonts w:hint="eastAsia" w:ascii="Times New Roman" w:hAnsi="Times New Roman" w:eastAsia="仿宋_GB2312" w:cs="Times New Roman"/>
          <w:sz w:val="32"/>
          <w:szCs w:val="32"/>
          <w:highlight w:val="none"/>
          <w:lang w:eastAsia="zh-CN"/>
        </w:rPr>
      </w:pPr>
    </w:p>
    <w:p w14:paraId="438BF3BC">
      <w:pPr>
        <w:pStyle w:val="11"/>
        <w:spacing w:after="0" w:line="560" w:lineRule="exact"/>
        <w:ind w:left="0" w:leftChars="0" w:firstLine="640"/>
        <w:rPr>
          <w:rFonts w:hint="eastAsia" w:ascii="Times New Roman" w:hAnsi="Times New Roman" w:eastAsia="仿宋_GB2312" w:cs="Times New Roman"/>
          <w:sz w:val="32"/>
          <w:szCs w:val="32"/>
          <w:highlight w:val="none"/>
          <w:lang w:eastAsia="zh-CN"/>
        </w:rPr>
      </w:pPr>
    </w:p>
    <w:p w14:paraId="141F8EF4">
      <w:pPr>
        <w:pStyle w:val="11"/>
        <w:spacing w:after="0" w:line="560" w:lineRule="exact"/>
        <w:ind w:left="0" w:leftChars="0" w:firstLine="640"/>
        <w:rPr>
          <w:rFonts w:hint="default" w:ascii="Times New Roman" w:hAnsi="Times New Roman" w:eastAsia="仿宋_GB2312" w:cs="Times New Roman"/>
          <w:sz w:val="32"/>
          <w:szCs w:val="32"/>
          <w:highlight w:val="none"/>
        </w:rPr>
      </w:pPr>
    </w:p>
    <w:p w14:paraId="3353B676">
      <w:pPr>
        <w:pStyle w:val="11"/>
        <w:spacing w:after="0" w:line="560" w:lineRule="exact"/>
        <w:ind w:left="0" w:leftChars="0" w:firstLine="640"/>
        <w:rPr>
          <w:rFonts w:hint="default" w:ascii="Times New Roman" w:hAnsi="Times New Roman" w:eastAsia="仿宋_GB2312" w:cs="Times New Roman"/>
          <w:sz w:val="32"/>
          <w:szCs w:val="32"/>
          <w:highlight w:val="none"/>
        </w:rPr>
      </w:pPr>
    </w:p>
    <w:p w14:paraId="38ACC64B">
      <w:pPr>
        <w:pStyle w:val="11"/>
        <w:spacing w:after="0" w:line="560" w:lineRule="exact"/>
        <w:ind w:left="0" w:leftChars="0" w:firstLine="0" w:firstLineChars="0"/>
        <w:rPr>
          <w:rFonts w:hint="default" w:ascii="Times New Roman" w:hAnsi="Times New Roman" w:eastAsia="仿宋_GB2312" w:cs="Times New Roman"/>
          <w:sz w:val="32"/>
          <w:szCs w:val="32"/>
          <w:highlight w:val="none"/>
        </w:rPr>
      </w:pPr>
    </w:p>
    <w:p w14:paraId="7483D52B">
      <w:pPr>
        <w:spacing w:line="600" w:lineRule="exact"/>
        <w:rPr>
          <w:rFonts w:hint="eastAsia" w:ascii="Times New Roman" w:hAnsi="Times New Roman" w:eastAsia="黑体" w:cs="Times New Roman"/>
          <w:sz w:val="32"/>
          <w:szCs w:val="32"/>
          <w:highlight w:val="none"/>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14:paraId="6A56F713">
      <w:pPr>
        <w:spacing w:line="600" w:lineRule="exact"/>
        <w:rPr>
          <w:rFonts w:hint="eastAsia"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附件</w:t>
      </w:r>
      <w:r>
        <w:rPr>
          <w:rFonts w:hint="eastAsia" w:eastAsia="黑体" w:cs="Times New Roman"/>
          <w:sz w:val="32"/>
          <w:szCs w:val="32"/>
          <w:highlight w:val="none"/>
          <w:lang w:val="en-US" w:eastAsia="zh-CN"/>
        </w:rPr>
        <w:t>1</w:t>
      </w:r>
    </w:p>
    <w:p w14:paraId="7076250C">
      <w:pPr>
        <w:pStyle w:val="20"/>
        <w:ind w:firstLine="562"/>
        <w:jc w:val="center"/>
        <w:rPr>
          <w:rFonts w:hint="eastAsia" w:ascii="仿宋_GB2312" w:hAnsi="仿宋_GB2312" w:eastAsia="仿宋_GB2312" w:cs="仿宋_GB2312"/>
          <w:sz w:val="28"/>
          <w:szCs w:val="40"/>
          <w:highlight w:val="none"/>
        </w:rPr>
      </w:pPr>
      <w:bookmarkStart w:id="28" w:name="_Toc30064_WPSOffice_Level1"/>
      <w:bookmarkStart w:id="29" w:name="_Toc26499_WPSOffice_Level2"/>
      <w:r>
        <w:rPr>
          <w:rFonts w:hint="eastAsia" w:ascii="仿宋_GB2312" w:hAnsi="仿宋_GB2312" w:eastAsia="仿宋_GB2312" w:cs="仿宋_GB2312"/>
          <w:b/>
          <w:bCs/>
          <w:sz w:val="28"/>
          <w:szCs w:val="40"/>
          <w:highlight w:val="none"/>
          <w:lang w:val="en-US" w:eastAsia="zh-CN"/>
        </w:rPr>
        <w:t>博湖县妇女儿童工作经费项目</w:t>
      </w:r>
      <w:r>
        <w:rPr>
          <w:rFonts w:hint="eastAsia" w:ascii="仿宋_GB2312" w:hAnsi="仿宋_GB2312" w:eastAsia="仿宋_GB2312" w:cs="仿宋_GB2312"/>
          <w:b/>
          <w:bCs/>
          <w:sz w:val="28"/>
          <w:szCs w:val="40"/>
          <w:highlight w:val="none"/>
        </w:rPr>
        <w:t>绩效评价指标体系及综合评分表</w:t>
      </w:r>
      <w:bookmarkEnd w:id="28"/>
      <w:bookmarkEnd w:id="29"/>
    </w:p>
    <w:tbl>
      <w:tblPr>
        <w:tblStyle w:val="12"/>
        <w:tblW w:w="4474"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004"/>
        <w:gridCol w:w="1000"/>
        <w:gridCol w:w="1071"/>
        <w:gridCol w:w="1726"/>
        <w:gridCol w:w="5216"/>
        <w:gridCol w:w="1300"/>
        <w:gridCol w:w="1366"/>
      </w:tblGrid>
      <w:tr w14:paraId="3AEF90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14:paraId="619A6E3F">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一级指标</w:t>
            </w:r>
          </w:p>
        </w:tc>
        <w:tc>
          <w:tcPr>
            <w:tcW w:w="394" w:type="pct"/>
            <w:shd w:val="clear" w:color="auto" w:fill="FFFFFF"/>
            <w:vAlign w:val="center"/>
          </w:tcPr>
          <w:p w14:paraId="7CA8606B">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二级指标</w:t>
            </w:r>
          </w:p>
        </w:tc>
        <w:tc>
          <w:tcPr>
            <w:tcW w:w="422" w:type="pct"/>
            <w:shd w:val="clear" w:color="auto" w:fill="FFFFFF"/>
            <w:vAlign w:val="center"/>
          </w:tcPr>
          <w:p w14:paraId="3174429B">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三级指标</w:t>
            </w:r>
          </w:p>
        </w:tc>
        <w:tc>
          <w:tcPr>
            <w:tcW w:w="680" w:type="pct"/>
            <w:shd w:val="clear" w:color="auto" w:fill="FFFFFF"/>
            <w:vAlign w:val="center"/>
          </w:tcPr>
          <w:p w14:paraId="3D765BA9">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指标解释</w:t>
            </w:r>
          </w:p>
        </w:tc>
        <w:tc>
          <w:tcPr>
            <w:tcW w:w="2055" w:type="pct"/>
            <w:shd w:val="clear" w:color="auto" w:fill="FFFFFF"/>
            <w:vAlign w:val="center"/>
          </w:tcPr>
          <w:p w14:paraId="49275723">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指标说明</w:t>
            </w:r>
          </w:p>
        </w:tc>
        <w:tc>
          <w:tcPr>
            <w:tcW w:w="512" w:type="pct"/>
            <w:shd w:val="clear" w:color="auto" w:fill="FFFFFF"/>
            <w:vAlign w:val="center"/>
          </w:tcPr>
          <w:p w14:paraId="4AB836ED">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权重</w:t>
            </w:r>
          </w:p>
        </w:tc>
        <w:tc>
          <w:tcPr>
            <w:tcW w:w="538" w:type="pct"/>
            <w:shd w:val="clear" w:color="auto" w:fill="FFFFFF"/>
            <w:vAlign w:val="center"/>
          </w:tcPr>
          <w:p w14:paraId="7613FAEB">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得分</w:t>
            </w:r>
          </w:p>
        </w:tc>
      </w:tr>
      <w:tr w14:paraId="5C5BAA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14:paraId="014C7B50">
            <w:pPr>
              <w:widowControl/>
              <w:spacing w:line="0" w:lineRule="atLeast"/>
              <w:jc w:val="center"/>
              <w:rPr>
                <w:rFonts w:hint="default" w:ascii="Times New Roman" w:hAnsi="Times New Roman" w:eastAsia="仿宋_GB2312" w:cs="Times New Roman"/>
                <w:color w:val="000000"/>
                <w:kern w:val="0"/>
                <w:sz w:val="18"/>
                <w:szCs w:val="18"/>
                <w:highlight w:val="none"/>
              </w:rPr>
            </w:pPr>
          </w:p>
          <w:p w14:paraId="02965CA4">
            <w:pPr>
              <w:widowControl/>
              <w:spacing w:line="0" w:lineRule="atLeast"/>
              <w:jc w:val="center"/>
              <w:rPr>
                <w:rFonts w:hint="default" w:ascii="Times New Roman" w:hAnsi="Times New Roman" w:eastAsia="仿宋_GB2312" w:cs="Times New Roman"/>
                <w:color w:val="000000"/>
                <w:kern w:val="0"/>
                <w:sz w:val="18"/>
                <w:szCs w:val="18"/>
                <w:highlight w:val="none"/>
              </w:rPr>
            </w:pPr>
          </w:p>
          <w:p w14:paraId="4D0DA56D">
            <w:pPr>
              <w:widowControl/>
              <w:spacing w:line="0" w:lineRule="atLeast"/>
              <w:jc w:val="center"/>
              <w:rPr>
                <w:rFonts w:hint="default" w:ascii="Times New Roman" w:hAnsi="Times New Roman" w:eastAsia="仿宋_GB2312" w:cs="Times New Roman"/>
                <w:color w:val="000000"/>
                <w:kern w:val="0"/>
                <w:sz w:val="18"/>
                <w:szCs w:val="18"/>
                <w:highlight w:val="none"/>
              </w:rPr>
            </w:pPr>
          </w:p>
          <w:p w14:paraId="6B7B9ADB">
            <w:pPr>
              <w:widowControl/>
              <w:spacing w:line="0" w:lineRule="atLeast"/>
              <w:jc w:val="center"/>
              <w:rPr>
                <w:rFonts w:hint="default" w:ascii="Times New Roman" w:hAnsi="Times New Roman" w:eastAsia="仿宋_GB2312" w:cs="Times New Roman"/>
                <w:color w:val="000000"/>
                <w:kern w:val="0"/>
                <w:sz w:val="18"/>
                <w:szCs w:val="18"/>
                <w:highlight w:val="none"/>
              </w:rPr>
            </w:pPr>
          </w:p>
          <w:p w14:paraId="4C5A1304">
            <w:pPr>
              <w:widowControl/>
              <w:spacing w:line="0" w:lineRule="atLeast"/>
              <w:jc w:val="center"/>
              <w:rPr>
                <w:rFonts w:hint="default" w:ascii="Times New Roman" w:hAnsi="Times New Roman" w:eastAsia="仿宋_GB2312" w:cs="Times New Roman"/>
                <w:color w:val="000000"/>
                <w:kern w:val="0"/>
                <w:sz w:val="18"/>
                <w:szCs w:val="18"/>
                <w:highlight w:val="none"/>
              </w:rPr>
            </w:pPr>
          </w:p>
          <w:p w14:paraId="046A9641">
            <w:pPr>
              <w:widowControl/>
              <w:spacing w:line="0" w:lineRule="atLeast"/>
              <w:jc w:val="center"/>
              <w:rPr>
                <w:rFonts w:hint="default" w:ascii="Times New Roman" w:hAnsi="Times New Roman" w:eastAsia="仿宋_GB2312" w:cs="Times New Roman"/>
                <w:color w:val="000000"/>
                <w:kern w:val="0"/>
                <w:sz w:val="18"/>
                <w:szCs w:val="18"/>
                <w:highlight w:val="none"/>
              </w:rPr>
            </w:pPr>
          </w:p>
          <w:p w14:paraId="226F40B5">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　</w:t>
            </w:r>
          </w:p>
        </w:tc>
        <w:tc>
          <w:tcPr>
            <w:tcW w:w="394" w:type="pct"/>
            <w:vMerge w:val="restart"/>
            <w:shd w:val="clear" w:color="auto" w:fill="FFFFFF"/>
            <w:vAlign w:val="center"/>
          </w:tcPr>
          <w:p w14:paraId="5770BA55">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　</w:t>
            </w:r>
          </w:p>
        </w:tc>
        <w:tc>
          <w:tcPr>
            <w:tcW w:w="422" w:type="pct"/>
            <w:shd w:val="clear" w:color="auto" w:fill="FFFFFF"/>
            <w:vAlign w:val="center"/>
          </w:tcPr>
          <w:p w14:paraId="1D46178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14:paraId="088E2515">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680" w:type="pct"/>
            <w:shd w:val="clear" w:color="auto" w:fill="FFFFFF"/>
            <w:vAlign w:val="center"/>
          </w:tcPr>
          <w:p w14:paraId="17D6599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2055" w:type="pct"/>
            <w:shd w:val="clear" w:color="auto" w:fill="FFFFFF"/>
            <w:vAlign w:val="center"/>
          </w:tcPr>
          <w:p w14:paraId="186860E6">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512" w:type="pct"/>
            <w:shd w:val="clear" w:color="auto" w:fill="FFFFFF"/>
            <w:vAlign w:val="center"/>
          </w:tcPr>
          <w:p w14:paraId="0F3A132B">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auto" w:fill="FFFFFF"/>
            <w:vAlign w:val="center"/>
          </w:tcPr>
          <w:p w14:paraId="7987FE5A">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0A20FB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14:paraId="759EF95D">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14:paraId="59B21290">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14:paraId="5A68490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14:paraId="59A79E9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680" w:type="pct"/>
            <w:shd w:val="clear" w:color="auto" w:fill="FFFFFF"/>
            <w:vAlign w:val="center"/>
          </w:tcPr>
          <w:p w14:paraId="3D1B62C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2055" w:type="pct"/>
            <w:shd w:val="clear" w:color="auto" w:fill="FFFFFF"/>
            <w:vAlign w:val="center"/>
          </w:tcPr>
          <w:p w14:paraId="77DFE792">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512" w:type="pct"/>
            <w:shd w:val="clear" w:color="auto" w:fill="FFFFFF"/>
            <w:vAlign w:val="center"/>
          </w:tcPr>
          <w:p w14:paraId="43CDFC38">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auto" w:fill="FFFFFF"/>
            <w:vAlign w:val="center"/>
          </w:tcPr>
          <w:p w14:paraId="049074F2">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394F85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14:paraId="345689E1">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restart"/>
            <w:shd w:val="clear" w:color="auto" w:fill="FFFFFF"/>
            <w:vAlign w:val="center"/>
          </w:tcPr>
          <w:p w14:paraId="6CD44A7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　</w:t>
            </w:r>
          </w:p>
        </w:tc>
        <w:tc>
          <w:tcPr>
            <w:tcW w:w="422" w:type="pct"/>
            <w:shd w:val="clear" w:color="auto" w:fill="FFFFFF"/>
            <w:vAlign w:val="center"/>
          </w:tcPr>
          <w:p w14:paraId="79B45AF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14:paraId="7B254825">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680" w:type="pct"/>
            <w:shd w:val="clear" w:color="000000" w:fill="FFFFFF"/>
            <w:vAlign w:val="center"/>
          </w:tcPr>
          <w:p w14:paraId="4D062FF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2055" w:type="pct"/>
            <w:shd w:val="clear" w:color="000000" w:fill="FFFFFF"/>
            <w:vAlign w:val="center"/>
          </w:tcPr>
          <w:p w14:paraId="6B9EC082">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14:paraId="187F5919">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512" w:type="pct"/>
            <w:shd w:val="clear" w:color="000000" w:fill="FFFFFF"/>
            <w:vAlign w:val="center"/>
          </w:tcPr>
          <w:p w14:paraId="412485EC">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000000" w:fill="FFFFFF"/>
            <w:vAlign w:val="center"/>
          </w:tcPr>
          <w:p w14:paraId="59DDE1FA">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58A83C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14:paraId="4F936267">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14:paraId="47640E8E">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14:paraId="742831A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14:paraId="5BFB366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680" w:type="pct"/>
            <w:shd w:val="clear" w:color="000000" w:fill="FFFFFF"/>
            <w:vAlign w:val="center"/>
          </w:tcPr>
          <w:p w14:paraId="75000161">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2055" w:type="pct"/>
            <w:shd w:val="clear" w:color="000000" w:fill="FFFFFF"/>
            <w:vAlign w:val="center"/>
          </w:tcPr>
          <w:p w14:paraId="015BF3B2">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512" w:type="pct"/>
            <w:shd w:val="clear" w:color="000000" w:fill="FFFFFF"/>
            <w:vAlign w:val="center"/>
          </w:tcPr>
          <w:p w14:paraId="69992568">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000000" w:fill="FFFFFF"/>
            <w:vAlign w:val="center"/>
          </w:tcPr>
          <w:p w14:paraId="60C5F43A">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21C657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14:paraId="101FC840">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restart"/>
            <w:shd w:val="clear" w:color="auto" w:fill="FFFFFF"/>
            <w:vAlign w:val="center"/>
          </w:tcPr>
          <w:p w14:paraId="045A918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资金投入</w:t>
            </w:r>
          </w:p>
          <w:p w14:paraId="63F295AD">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422" w:type="pct"/>
            <w:shd w:val="clear" w:color="auto" w:fill="FFFFFF"/>
            <w:vAlign w:val="center"/>
          </w:tcPr>
          <w:p w14:paraId="020538A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14:paraId="30973CB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680" w:type="pct"/>
            <w:shd w:val="clear" w:color="auto" w:fill="FFFFFF"/>
            <w:vAlign w:val="center"/>
          </w:tcPr>
          <w:p w14:paraId="750D1E1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14:paraId="4198844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512" w:type="pct"/>
            <w:shd w:val="clear" w:color="auto" w:fill="FFFFFF"/>
            <w:vAlign w:val="center"/>
          </w:tcPr>
          <w:p w14:paraId="16B07343">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14:paraId="574597D9">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4BEFDA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14:paraId="01277623">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14:paraId="689B9ABD">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14:paraId="470D957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14:paraId="65E17D6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680" w:type="pct"/>
            <w:shd w:val="clear" w:color="auto" w:fill="FFFFFF"/>
            <w:vAlign w:val="center"/>
          </w:tcPr>
          <w:p w14:paraId="40EAF1C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14:paraId="15FE4DAE">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512" w:type="pct"/>
            <w:shd w:val="clear" w:color="auto" w:fill="FFFFFF"/>
            <w:vAlign w:val="center"/>
          </w:tcPr>
          <w:p w14:paraId="7B979330">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14:paraId="48829A8F">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19C7C2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14:paraId="0CC47A34">
            <w:pPr>
              <w:spacing w:line="0" w:lineRule="atLeast"/>
              <w:jc w:val="center"/>
              <w:rPr>
                <w:rFonts w:hint="default" w:ascii="Times New Roman" w:hAnsi="Times New Roman" w:eastAsia="仿宋_GB2312" w:cs="Times New Roman"/>
                <w:color w:val="000000"/>
                <w:kern w:val="0"/>
                <w:sz w:val="18"/>
                <w:szCs w:val="18"/>
                <w:highlight w:val="none"/>
              </w:rPr>
            </w:pPr>
          </w:p>
          <w:p w14:paraId="5BD49A60">
            <w:pPr>
              <w:spacing w:line="0" w:lineRule="atLeast"/>
              <w:jc w:val="center"/>
              <w:rPr>
                <w:rFonts w:hint="default" w:ascii="Times New Roman" w:hAnsi="Times New Roman" w:eastAsia="仿宋_GB2312" w:cs="Times New Roman"/>
                <w:color w:val="000000"/>
                <w:kern w:val="0"/>
                <w:sz w:val="18"/>
                <w:szCs w:val="18"/>
                <w:highlight w:val="none"/>
              </w:rPr>
            </w:pPr>
          </w:p>
          <w:p w14:paraId="5D17523B">
            <w:pPr>
              <w:spacing w:line="0" w:lineRule="atLeast"/>
              <w:jc w:val="center"/>
              <w:rPr>
                <w:rFonts w:hint="default" w:ascii="Times New Roman" w:hAnsi="Times New Roman" w:eastAsia="仿宋_GB2312" w:cs="Times New Roman"/>
                <w:color w:val="000000"/>
                <w:kern w:val="0"/>
                <w:sz w:val="18"/>
                <w:szCs w:val="18"/>
                <w:highlight w:val="none"/>
              </w:rPr>
            </w:pPr>
          </w:p>
          <w:p w14:paraId="5E8A2486">
            <w:pPr>
              <w:spacing w:line="0" w:lineRule="atLeast"/>
              <w:jc w:val="center"/>
              <w:rPr>
                <w:rFonts w:hint="default" w:ascii="Times New Roman" w:hAnsi="Times New Roman" w:eastAsia="仿宋_GB2312" w:cs="Times New Roman"/>
                <w:color w:val="000000"/>
                <w:kern w:val="0"/>
                <w:sz w:val="18"/>
                <w:szCs w:val="18"/>
                <w:highlight w:val="none"/>
              </w:rPr>
            </w:pPr>
          </w:p>
          <w:p w14:paraId="407511F2">
            <w:pPr>
              <w:spacing w:line="0" w:lineRule="atLeast"/>
              <w:jc w:val="center"/>
              <w:rPr>
                <w:rFonts w:hint="default" w:ascii="Times New Roman" w:hAnsi="Times New Roman" w:eastAsia="仿宋_GB2312" w:cs="Times New Roman"/>
                <w:color w:val="000000"/>
                <w:kern w:val="0"/>
                <w:sz w:val="18"/>
                <w:szCs w:val="18"/>
                <w:highlight w:val="none"/>
              </w:rPr>
            </w:pPr>
          </w:p>
          <w:p w14:paraId="2653BB96">
            <w:pPr>
              <w:spacing w:line="0" w:lineRule="atLeast"/>
              <w:jc w:val="center"/>
              <w:rPr>
                <w:rFonts w:hint="default" w:ascii="Times New Roman" w:hAnsi="Times New Roman" w:eastAsia="仿宋_GB2312" w:cs="Times New Roman"/>
                <w:color w:val="000000"/>
                <w:kern w:val="0"/>
                <w:sz w:val="18"/>
                <w:szCs w:val="18"/>
                <w:highlight w:val="none"/>
              </w:rPr>
            </w:pPr>
          </w:p>
          <w:p w14:paraId="537E0DB2">
            <w:pPr>
              <w:spacing w:line="0" w:lineRule="atLeast"/>
              <w:jc w:val="center"/>
              <w:rPr>
                <w:rFonts w:hint="default" w:ascii="Times New Roman" w:hAnsi="Times New Roman" w:eastAsia="仿宋_GB2312" w:cs="Times New Roman"/>
                <w:color w:val="000000"/>
                <w:kern w:val="0"/>
                <w:sz w:val="18"/>
                <w:szCs w:val="18"/>
                <w:highlight w:val="none"/>
              </w:rPr>
            </w:pPr>
          </w:p>
          <w:p w14:paraId="23FDB82C">
            <w:pPr>
              <w:spacing w:line="0" w:lineRule="atLeast"/>
              <w:jc w:val="center"/>
              <w:rPr>
                <w:rFonts w:hint="default" w:ascii="Times New Roman" w:hAnsi="Times New Roman" w:eastAsia="仿宋_GB2312" w:cs="Times New Roman"/>
                <w:color w:val="000000"/>
                <w:kern w:val="0"/>
                <w:sz w:val="18"/>
                <w:szCs w:val="18"/>
                <w:highlight w:val="none"/>
              </w:rPr>
            </w:pPr>
          </w:p>
          <w:p w14:paraId="0FED5B5A">
            <w:pPr>
              <w:spacing w:line="0" w:lineRule="atLeast"/>
              <w:jc w:val="center"/>
              <w:rPr>
                <w:rFonts w:hint="default" w:ascii="Times New Roman" w:hAnsi="Times New Roman" w:eastAsia="仿宋_GB2312" w:cs="Times New Roman"/>
                <w:color w:val="000000"/>
                <w:kern w:val="0"/>
                <w:sz w:val="18"/>
                <w:szCs w:val="18"/>
                <w:highlight w:val="none"/>
              </w:rPr>
            </w:pPr>
          </w:p>
          <w:p w14:paraId="4160606F">
            <w:pPr>
              <w:spacing w:line="0" w:lineRule="atLeast"/>
              <w:jc w:val="center"/>
              <w:rPr>
                <w:rFonts w:hint="default" w:ascii="Times New Roman" w:hAnsi="Times New Roman" w:eastAsia="仿宋_GB2312" w:cs="Times New Roman"/>
                <w:color w:val="000000"/>
                <w:kern w:val="0"/>
                <w:sz w:val="18"/>
                <w:szCs w:val="18"/>
                <w:highlight w:val="none"/>
              </w:rPr>
            </w:pPr>
          </w:p>
          <w:p w14:paraId="1902E5F5">
            <w:pPr>
              <w:spacing w:line="0" w:lineRule="atLeast"/>
              <w:jc w:val="center"/>
              <w:rPr>
                <w:rFonts w:hint="default" w:ascii="Times New Roman" w:hAnsi="Times New Roman" w:eastAsia="仿宋_GB2312" w:cs="Times New Roman"/>
                <w:color w:val="000000"/>
                <w:kern w:val="0"/>
                <w:sz w:val="18"/>
                <w:szCs w:val="18"/>
                <w:highlight w:val="none"/>
              </w:rPr>
            </w:pPr>
          </w:p>
          <w:p w14:paraId="36E760AF">
            <w:pPr>
              <w:spacing w:line="0" w:lineRule="atLeast"/>
              <w:jc w:val="center"/>
              <w:rPr>
                <w:rFonts w:hint="default" w:ascii="Times New Roman" w:hAnsi="Times New Roman" w:eastAsia="仿宋_GB2312" w:cs="Times New Roman"/>
                <w:color w:val="000000"/>
                <w:kern w:val="0"/>
                <w:sz w:val="18"/>
                <w:szCs w:val="18"/>
                <w:highlight w:val="none"/>
              </w:rPr>
            </w:pPr>
          </w:p>
          <w:p w14:paraId="64C6310E">
            <w:pPr>
              <w:spacing w:line="0" w:lineRule="atLeast"/>
              <w:jc w:val="center"/>
              <w:rPr>
                <w:rFonts w:hint="default" w:ascii="Times New Roman" w:hAnsi="Times New Roman" w:eastAsia="仿宋_GB2312" w:cs="Times New Roman"/>
                <w:color w:val="000000"/>
                <w:kern w:val="0"/>
                <w:sz w:val="18"/>
                <w:szCs w:val="18"/>
                <w:highlight w:val="none"/>
              </w:rPr>
            </w:pPr>
          </w:p>
          <w:p w14:paraId="68D52E7D">
            <w:pPr>
              <w:spacing w:line="0" w:lineRule="atLeast"/>
              <w:jc w:val="center"/>
              <w:rPr>
                <w:rFonts w:hint="default" w:ascii="Times New Roman" w:hAnsi="Times New Roman" w:eastAsia="仿宋_GB2312" w:cs="Times New Roman"/>
                <w:color w:val="000000"/>
                <w:kern w:val="0"/>
                <w:sz w:val="18"/>
                <w:szCs w:val="18"/>
                <w:highlight w:val="none"/>
              </w:rPr>
            </w:pPr>
          </w:p>
          <w:p w14:paraId="625233EC">
            <w:pPr>
              <w:spacing w:line="0" w:lineRule="atLeast"/>
              <w:jc w:val="center"/>
              <w:rPr>
                <w:rFonts w:hint="default" w:ascii="Times New Roman" w:hAnsi="Times New Roman" w:eastAsia="仿宋_GB2312" w:cs="Times New Roman"/>
                <w:color w:val="000000"/>
                <w:kern w:val="0"/>
                <w:sz w:val="18"/>
                <w:szCs w:val="18"/>
                <w:highlight w:val="none"/>
              </w:rPr>
            </w:pPr>
          </w:p>
          <w:p w14:paraId="4616488C">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过程</w:t>
            </w:r>
          </w:p>
          <w:p w14:paraId="29FBBCE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394" w:type="pct"/>
            <w:vMerge w:val="restart"/>
            <w:shd w:val="clear" w:color="auto" w:fill="FFFFFF"/>
            <w:vAlign w:val="center"/>
          </w:tcPr>
          <w:p w14:paraId="5DC9ECE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422" w:type="pct"/>
            <w:shd w:val="clear" w:color="auto" w:fill="FFFFFF"/>
            <w:vAlign w:val="center"/>
          </w:tcPr>
          <w:p w14:paraId="0B900B5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680" w:type="pct"/>
            <w:shd w:val="clear" w:color="000000" w:fill="FFFFFF"/>
            <w:vAlign w:val="center"/>
          </w:tcPr>
          <w:p w14:paraId="41B582D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2055" w:type="pct"/>
            <w:shd w:val="clear" w:color="000000" w:fill="FFFFFF"/>
            <w:vAlign w:val="center"/>
          </w:tcPr>
          <w:p w14:paraId="6390D40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14:paraId="4F7CA52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14:paraId="09F681AE">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512" w:type="pct"/>
            <w:shd w:val="clear" w:color="000000" w:fill="FFFFFF"/>
            <w:vAlign w:val="center"/>
          </w:tcPr>
          <w:p w14:paraId="3B7A2CBD">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14:paraId="4BEEE300">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7674CD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14:paraId="60348B29">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14:paraId="0A3A1B05">
            <w:pPr>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14:paraId="6EEFB71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680" w:type="pct"/>
            <w:shd w:val="clear" w:color="auto" w:fill="FFFFFF"/>
            <w:vAlign w:val="center"/>
          </w:tcPr>
          <w:p w14:paraId="50FC2C1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2055" w:type="pct"/>
            <w:shd w:val="clear" w:color="auto" w:fill="FFFFFF"/>
            <w:vAlign w:val="center"/>
          </w:tcPr>
          <w:p w14:paraId="57A2DCEA">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512" w:type="pct"/>
            <w:shd w:val="clear" w:color="auto" w:fill="FFFFFF"/>
            <w:vAlign w:val="center"/>
          </w:tcPr>
          <w:p w14:paraId="103A203A">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14:paraId="0446A9DF">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28A7E9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14:paraId="5560DCEE">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shd w:val="clear" w:color="auto" w:fill="FFFFFF"/>
            <w:vAlign w:val="center"/>
          </w:tcPr>
          <w:p w14:paraId="45CE093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422" w:type="pct"/>
            <w:shd w:val="clear" w:color="auto" w:fill="FFFFFF"/>
            <w:vAlign w:val="center"/>
          </w:tcPr>
          <w:p w14:paraId="06F2D2B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14:paraId="3331099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680" w:type="pct"/>
            <w:shd w:val="clear" w:color="000000" w:fill="FFFFFF"/>
            <w:vAlign w:val="center"/>
          </w:tcPr>
          <w:p w14:paraId="00FA609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2055" w:type="pct"/>
            <w:shd w:val="clear" w:color="000000" w:fill="FFFFFF"/>
            <w:vAlign w:val="center"/>
          </w:tcPr>
          <w:p w14:paraId="773FCE7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512" w:type="pct"/>
            <w:shd w:val="clear" w:color="000000" w:fill="FFFFFF"/>
            <w:vAlign w:val="center"/>
          </w:tcPr>
          <w:p w14:paraId="76023E25">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14:paraId="79625550">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7A8457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14:paraId="74B32F1D">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restart"/>
            <w:shd w:val="clear" w:color="auto" w:fill="FFFFFF"/>
            <w:vAlign w:val="center"/>
          </w:tcPr>
          <w:p w14:paraId="63A7E21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组织实施</w:t>
            </w:r>
          </w:p>
          <w:p w14:paraId="7EDEB3FE">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422" w:type="pct"/>
            <w:shd w:val="clear" w:color="auto" w:fill="FFFFFF"/>
            <w:vAlign w:val="center"/>
          </w:tcPr>
          <w:p w14:paraId="7BFCB00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14:paraId="614B988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680" w:type="pct"/>
            <w:shd w:val="clear" w:color="000000" w:fill="FFFFFF"/>
            <w:vAlign w:val="center"/>
          </w:tcPr>
          <w:p w14:paraId="1EA1070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2055" w:type="pct"/>
            <w:shd w:val="clear" w:color="000000" w:fill="FFFFFF"/>
            <w:vAlign w:val="center"/>
          </w:tcPr>
          <w:p w14:paraId="796BF34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512" w:type="pct"/>
            <w:shd w:val="clear" w:color="000000" w:fill="FFFFFF"/>
            <w:vAlign w:val="center"/>
          </w:tcPr>
          <w:p w14:paraId="15B6C4AA">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14:paraId="693DBD1F">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3F17B0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69" w:hRule="atLeast"/>
          <w:jc w:val="center"/>
        </w:trPr>
        <w:tc>
          <w:tcPr>
            <w:tcW w:w="396" w:type="pct"/>
            <w:vMerge w:val="continue"/>
            <w:shd w:val="clear" w:color="auto" w:fill="FFFFFF"/>
            <w:vAlign w:val="center"/>
          </w:tcPr>
          <w:p w14:paraId="776CEE62">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14:paraId="4B4DF826">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14:paraId="6B6A7C4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14:paraId="56E34C9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680" w:type="pct"/>
            <w:shd w:val="clear" w:color="000000" w:fill="FFFFFF"/>
            <w:vAlign w:val="center"/>
          </w:tcPr>
          <w:p w14:paraId="4A4B11D6">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2055" w:type="pct"/>
            <w:shd w:val="clear" w:color="000000" w:fill="FFFFFF"/>
            <w:vAlign w:val="center"/>
          </w:tcPr>
          <w:p w14:paraId="4F609B09">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512" w:type="pct"/>
            <w:shd w:val="clear" w:color="000000" w:fill="FFFFFF"/>
            <w:vAlign w:val="center"/>
          </w:tcPr>
          <w:p w14:paraId="61122131">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14:paraId="035D6AE2">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6A5128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vAlign w:val="center"/>
          </w:tcPr>
          <w:p w14:paraId="2E9369F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394" w:type="pct"/>
            <w:shd w:val="clear" w:color="auto" w:fill="FFFFFF"/>
            <w:vAlign w:val="center"/>
          </w:tcPr>
          <w:p w14:paraId="1BFAAE0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422" w:type="pct"/>
            <w:shd w:val="clear" w:color="auto" w:fill="FFFFFF"/>
            <w:vAlign w:val="center"/>
          </w:tcPr>
          <w:p w14:paraId="1D0A722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680" w:type="pct"/>
            <w:shd w:val="clear" w:color="000000" w:fill="FFFFFF"/>
            <w:vAlign w:val="center"/>
          </w:tcPr>
          <w:p w14:paraId="5ABE4D3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2055" w:type="pct"/>
            <w:shd w:val="clear" w:color="000000" w:fill="FFFFFF"/>
            <w:vAlign w:val="center"/>
          </w:tcPr>
          <w:p w14:paraId="11D7DE56">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512" w:type="pct"/>
            <w:shd w:val="clear" w:color="000000" w:fill="FFFFFF"/>
            <w:vAlign w:val="center"/>
          </w:tcPr>
          <w:p w14:paraId="75E92493">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14:paraId="4E8DE775">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9.48</w:t>
            </w:r>
          </w:p>
        </w:tc>
      </w:tr>
      <w:tr w14:paraId="4B4B8D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vAlign w:val="center"/>
          </w:tcPr>
          <w:p w14:paraId="394C5256">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shd w:val="clear" w:color="auto" w:fill="FFFFFF"/>
            <w:vAlign w:val="center"/>
          </w:tcPr>
          <w:p w14:paraId="77F2C4D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422" w:type="pct"/>
            <w:shd w:val="clear" w:color="auto" w:fill="FFFFFF"/>
            <w:vAlign w:val="center"/>
          </w:tcPr>
          <w:p w14:paraId="10D51E9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680" w:type="pct"/>
            <w:shd w:val="clear" w:color="000000" w:fill="FFFFFF"/>
            <w:vAlign w:val="center"/>
          </w:tcPr>
          <w:p w14:paraId="3F6EC11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2055" w:type="pct"/>
            <w:shd w:val="clear" w:color="000000" w:fill="FFFFFF"/>
            <w:vAlign w:val="center"/>
          </w:tcPr>
          <w:p w14:paraId="21E35D7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14:paraId="3CEB928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08FFD80E">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14:paraId="4A41803D">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2B628B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vAlign w:val="center"/>
          </w:tcPr>
          <w:p w14:paraId="4CD788EE">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shd w:val="clear" w:color="auto" w:fill="FFFFFF"/>
            <w:vAlign w:val="center"/>
          </w:tcPr>
          <w:p w14:paraId="05ED853E">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422" w:type="pct"/>
            <w:shd w:val="clear" w:color="auto" w:fill="FFFFFF"/>
            <w:vAlign w:val="center"/>
          </w:tcPr>
          <w:p w14:paraId="0DF7100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680" w:type="pct"/>
            <w:shd w:val="clear" w:color="000000" w:fill="FFFFFF"/>
            <w:vAlign w:val="center"/>
          </w:tcPr>
          <w:p w14:paraId="1BA80B6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2055" w:type="pct"/>
            <w:shd w:val="clear" w:color="000000" w:fill="FFFFFF"/>
            <w:vAlign w:val="center"/>
          </w:tcPr>
          <w:p w14:paraId="0A0836D9">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512" w:type="pct"/>
            <w:shd w:val="clear" w:color="000000" w:fill="FFFFFF"/>
            <w:vAlign w:val="center"/>
          </w:tcPr>
          <w:p w14:paraId="534EF8C1">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14:paraId="40A8B991">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55D739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14:paraId="2C573DCF">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shd w:val="clear" w:color="auto" w:fill="FFFFFF"/>
            <w:vAlign w:val="center"/>
          </w:tcPr>
          <w:p w14:paraId="03B313A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422" w:type="pct"/>
            <w:shd w:val="clear" w:color="auto" w:fill="FFFFFF"/>
            <w:vAlign w:val="center"/>
          </w:tcPr>
          <w:p w14:paraId="5828740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w:t>
            </w:r>
            <w:r>
              <w:rPr>
                <w:rFonts w:hint="eastAsia" w:eastAsia="仿宋_GB2312" w:cs="Times New Roman"/>
                <w:color w:val="000000"/>
                <w:kern w:val="0"/>
                <w:sz w:val="18"/>
                <w:szCs w:val="18"/>
                <w:highlight w:val="none"/>
                <w:lang w:val="en-US" w:eastAsia="zh-CN"/>
              </w:rPr>
              <w:t>完成</w:t>
            </w:r>
            <w:r>
              <w:rPr>
                <w:rFonts w:hint="default" w:ascii="Times New Roman" w:hAnsi="Times New Roman" w:eastAsia="仿宋_GB2312" w:cs="Times New Roman"/>
                <w:color w:val="000000"/>
                <w:kern w:val="0"/>
                <w:sz w:val="18"/>
                <w:szCs w:val="18"/>
                <w:highlight w:val="none"/>
              </w:rPr>
              <w:t>率</w:t>
            </w:r>
          </w:p>
        </w:tc>
        <w:tc>
          <w:tcPr>
            <w:tcW w:w="680" w:type="pct"/>
            <w:shd w:val="clear" w:color="000000" w:fill="FFFFFF"/>
            <w:vAlign w:val="center"/>
          </w:tcPr>
          <w:p w14:paraId="3FCF05BE">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w:t>
            </w:r>
            <w:r>
              <w:rPr>
                <w:rFonts w:hint="eastAsia" w:eastAsia="仿宋_GB2312" w:cs="Times New Roman"/>
                <w:color w:val="000000"/>
                <w:kern w:val="0"/>
                <w:sz w:val="18"/>
                <w:szCs w:val="18"/>
                <w:highlight w:val="none"/>
                <w:lang w:eastAsia="zh-CN"/>
              </w:rPr>
              <w:t>支出资金与预算资金的比率，</w:t>
            </w:r>
            <w:r>
              <w:rPr>
                <w:rFonts w:hint="default" w:ascii="Times New Roman" w:hAnsi="Times New Roman" w:eastAsia="仿宋_GB2312" w:cs="Times New Roman"/>
                <w:color w:val="000000"/>
                <w:kern w:val="0"/>
                <w:sz w:val="18"/>
                <w:szCs w:val="18"/>
                <w:highlight w:val="none"/>
              </w:rPr>
              <w:t>用以反映和考核项目的成本</w:t>
            </w:r>
            <w:r>
              <w:rPr>
                <w:rFonts w:hint="eastAsia" w:eastAsia="仿宋_GB2312" w:cs="Times New Roman"/>
                <w:color w:val="000000"/>
                <w:kern w:val="0"/>
                <w:sz w:val="18"/>
                <w:szCs w:val="18"/>
                <w:highlight w:val="none"/>
                <w:lang w:eastAsia="zh-CN"/>
              </w:rPr>
              <w:t>完成情况</w:t>
            </w:r>
            <w:r>
              <w:rPr>
                <w:rFonts w:hint="default" w:ascii="Times New Roman" w:hAnsi="Times New Roman" w:eastAsia="仿宋_GB2312" w:cs="Times New Roman"/>
                <w:color w:val="000000"/>
                <w:kern w:val="0"/>
                <w:sz w:val="18"/>
                <w:szCs w:val="18"/>
                <w:highlight w:val="none"/>
              </w:rPr>
              <w:t>。</w:t>
            </w:r>
          </w:p>
        </w:tc>
        <w:tc>
          <w:tcPr>
            <w:tcW w:w="2055" w:type="pct"/>
            <w:shd w:val="clear" w:color="000000" w:fill="FFFFFF"/>
            <w:vAlign w:val="center"/>
          </w:tcPr>
          <w:p w14:paraId="2EACA88D">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w:t>
            </w:r>
            <w:r>
              <w:rPr>
                <w:rFonts w:hint="eastAsia" w:eastAsia="仿宋_GB2312" w:cs="Times New Roman"/>
                <w:color w:val="000000"/>
                <w:kern w:val="0"/>
                <w:sz w:val="18"/>
                <w:szCs w:val="18"/>
                <w:highlight w:val="none"/>
                <w:lang w:eastAsia="zh-CN"/>
              </w:rPr>
              <w:t>完成</w:t>
            </w:r>
            <w:r>
              <w:rPr>
                <w:rFonts w:hint="default" w:ascii="Times New Roman" w:hAnsi="Times New Roman" w:eastAsia="仿宋_GB2312" w:cs="Times New Roman"/>
                <w:color w:val="000000"/>
                <w:kern w:val="0"/>
                <w:sz w:val="18"/>
                <w:szCs w:val="18"/>
                <w:highlight w:val="none"/>
              </w:rPr>
              <w:t>率=[</w:t>
            </w:r>
            <w:r>
              <w:rPr>
                <w:rFonts w:hint="eastAsia" w:eastAsia="仿宋_GB2312" w:cs="Times New Roman"/>
                <w:color w:val="000000"/>
                <w:kern w:val="0"/>
                <w:sz w:val="18"/>
                <w:szCs w:val="18"/>
                <w:highlight w:val="none"/>
                <w:lang w:eastAsia="zh-CN"/>
              </w:rPr>
              <w:t>实际支出资金</w:t>
            </w:r>
            <w:r>
              <w:rPr>
                <w:rFonts w:hint="default" w:ascii="Times New Roman" w:hAnsi="Times New Roman" w:eastAsia="仿宋_GB2312" w:cs="Times New Roman"/>
                <w:color w:val="000000"/>
                <w:kern w:val="0"/>
                <w:sz w:val="18"/>
                <w:szCs w:val="18"/>
                <w:highlight w:val="none"/>
              </w:rPr>
              <w:t>/</w:t>
            </w:r>
            <w:r>
              <w:rPr>
                <w:rFonts w:hint="eastAsia" w:eastAsia="仿宋_GB2312" w:cs="Times New Roman"/>
                <w:color w:val="000000"/>
                <w:kern w:val="0"/>
                <w:sz w:val="18"/>
                <w:szCs w:val="18"/>
                <w:highlight w:val="none"/>
                <w:lang w:eastAsia="zh-CN"/>
              </w:rPr>
              <w:t>预算资金</w:t>
            </w:r>
            <w:r>
              <w:rPr>
                <w:rFonts w:hint="default" w:ascii="Times New Roman" w:hAnsi="Times New Roman" w:eastAsia="仿宋_GB2312" w:cs="Times New Roman"/>
                <w:color w:val="000000"/>
                <w:kern w:val="0"/>
                <w:sz w:val="18"/>
                <w:szCs w:val="18"/>
                <w:highlight w:val="none"/>
              </w:rPr>
              <w:t>]×100%。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w:t>
            </w:r>
            <w:r>
              <w:rPr>
                <w:rFonts w:hint="eastAsia" w:eastAsia="仿宋_GB2312" w:cs="Times New Roman"/>
                <w:color w:val="000000"/>
                <w:kern w:val="0"/>
                <w:sz w:val="18"/>
                <w:szCs w:val="18"/>
                <w:highlight w:val="none"/>
                <w:lang w:eastAsia="zh-CN"/>
              </w:rPr>
              <w:t>支出资金</w:t>
            </w:r>
            <w:r>
              <w:rPr>
                <w:rFonts w:hint="default" w:ascii="Times New Roman" w:hAnsi="Times New Roman" w:eastAsia="仿宋_GB2312" w:cs="Times New Roman"/>
                <w:color w:val="000000"/>
                <w:kern w:val="0"/>
                <w:sz w:val="18"/>
                <w:szCs w:val="18"/>
                <w:highlight w:val="none"/>
              </w:rPr>
              <w:t>：</w:t>
            </w:r>
            <w:r>
              <w:rPr>
                <w:rFonts w:hint="eastAsia" w:eastAsia="仿宋_GB2312" w:cs="Times New Roman"/>
                <w:color w:val="000000"/>
                <w:kern w:val="0"/>
                <w:sz w:val="18"/>
                <w:szCs w:val="18"/>
                <w:highlight w:val="none"/>
                <w:lang w:eastAsia="zh-CN"/>
              </w:rPr>
              <w:t>一定时期（本年度或项目期）内项目实际拨付的资金</w:t>
            </w:r>
            <w:r>
              <w:rPr>
                <w:rFonts w:hint="default" w:ascii="Times New Roman" w:hAnsi="Times New Roman" w:eastAsia="仿宋_GB2312" w:cs="Times New Roman"/>
                <w:color w:val="000000"/>
                <w:kern w:val="0"/>
                <w:sz w:val="18"/>
                <w:szCs w:val="18"/>
                <w:highlight w:val="none"/>
              </w:rPr>
              <w:t>。</w:t>
            </w:r>
          </w:p>
        </w:tc>
        <w:tc>
          <w:tcPr>
            <w:tcW w:w="512" w:type="pct"/>
            <w:shd w:val="clear" w:color="000000" w:fill="FFFFFF"/>
            <w:vAlign w:val="center"/>
          </w:tcPr>
          <w:p w14:paraId="490320EC">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14:paraId="4E544503">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4B8EBF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14:paraId="6683AE4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　</w:t>
            </w:r>
          </w:p>
        </w:tc>
        <w:tc>
          <w:tcPr>
            <w:tcW w:w="394" w:type="pct"/>
            <w:vMerge w:val="restart"/>
            <w:shd w:val="clear" w:color="auto" w:fill="FFFFFF"/>
            <w:vAlign w:val="center"/>
          </w:tcPr>
          <w:p w14:paraId="50C9856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　</w:t>
            </w:r>
          </w:p>
        </w:tc>
        <w:tc>
          <w:tcPr>
            <w:tcW w:w="422" w:type="pct"/>
            <w:shd w:val="clear" w:color="auto" w:fill="FFFFFF"/>
            <w:vAlign w:val="center"/>
          </w:tcPr>
          <w:p w14:paraId="222A2B1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680" w:type="pct"/>
            <w:shd w:val="clear" w:color="auto" w:fill="FFFFFF"/>
            <w:vAlign w:val="center"/>
          </w:tcPr>
          <w:p w14:paraId="66AD4575">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2055" w:type="pct"/>
            <w:shd w:val="clear" w:color="auto" w:fill="FFFFFF"/>
            <w:vAlign w:val="center"/>
          </w:tcPr>
          <w:p w14:paraId="25F70B1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512" w:type="pct"/>
            <w:shd w:val="clear" w:color="auto" w:fill="FFFFFF"/>
            <w:vAlign w:val="center"/>
          </w:tcPr>
          <w:p w14:paraId="4C8A84D7">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auto" w:fill="FFFFFF"/>
            <w:vAlign w:val="center"/>
          </w:tcPr>
          <w:p w14:paraId="265394F9">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70933A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14:paraId="40551492">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14:paraId="2B991917">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14:paraId="7BBB46D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680" w:type="pct"/>
            <w:shd w:val="clear" w:color="000000" w:fill="FFFFFF"/>
            <w:vAlign w:val="center"/>
          </w:tcPr>
          <w:p w14:paraId="65AE6A0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2055" w:type="pct"/>
            <w:shd w:val="clear" w:color="000000" w:fill="FFFFFF"/>
            <w:vAlign w:val="center"/>
          </w:tcPr>
          <w:p w14:paraId="281B937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512" w:type="pct"/>
            <w:shd w:val="clear" w:color="000000" w:fill="FFFFFF"/>
            <w:vAlign w:val="center"/>
          </w:tcPr>
          <w:p w14:paraId="02E0941A">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14:paraId="381D923D">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bl>
    <w:p w14:paraId="51B571DA">
      <w:pPr>
        <w:rPr>
          <w:rFonts w:hint="default" w:ascii="Times New Roman" w:hAnsi="Times New Roman" w:cs="Times New Roman"/>
          <w:highlight w:val="none"/>
        </w:rPr>
        <w:sectPr>
          <w:pgSz w:w="16838" w:h="11906" w:orient="landscape"/>
          <w:pgMar w:top="1800" w:right="1440" w:bottom="1558" w:left="1440" w:header="851" w:footer="992" w:gutter="0"/>
          <w:cols w:space="425" w:num="1"/>
          <w:docGrid w:type="lines" w:linePitch="312" w:charSpace="0"/>
        </w:sectPr>
      </w:pPr>
    </w:p>
    <w:p w14:paraId="652E1C61">
      <w:pPr>
        <w:spacing w:line="600" w:lineRule="exact"/>
        <w:rPr>
          <w:rFonts w:hint="eastAsia"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附件</w:t>
      </w:r>
      <w:r>
        <w:rPr>
          <w:rFonts w:hint="eastAsia" w:eastAsia="黑体" w:cs="Times New Roman"/>
          <w:sz w:val="32"/>
          <w:szCs w:val="32"/>
          <w:highlight w:val="none"/>
          <w:lang w:val="en-US" w:eastAsia="zh-CN"/>
        </w:rPr>
        <w:t>2</w:t>
      </w:r>
    </w:p>
    <w:p w14:paraId="4D83E49D">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highlight w:val="none"/>
          <w:u w:val="none"/>
          <w:lang w:val="en-US" w:eastAsia="zh-CN"/>
        </w:rPr>
      </w:pPr>
      <w:r>
        <w:rPr>
          <w:rFonts w:hint="eastAsia" w:ascii="仿宋_GB2312" w:hAnsi="仿宋_GB2312" w:eastAsia="仿宋_GB2312" w:cs="仿宋_GB2312"/>
          <w:b/>
          <w:bCs/>
          <w:i w:val="0"/>
          <w:iCs w:val="0"/>
          <w:color w:val="000000"/>
          <w:kern w:val="0"/>
          <w:sz w:val="28"/>
          <w:szCs w:val="28"/>
          <w:highlight w:val="none"/>
          <w:u w:val="none"/>
          <w:lang w:val="en-US" w:eastAsia="zh-CN"/>
        </w:rPr>
        <w:t>项目支出绩效自评表</w:t>
      </w:r>
    </w:p>
    <w:p w14:paraId="255F4DD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highlight w:val="none"/>
          <w:u w:val="none"/>
          <w:lang w:val="en-US" w:eastAsia="zh-CN"/>
        </w:rPr>
      </w:pPr>
      <w:r>
        <w:rPr>
          <w:rFonts w:hint="default" w:ascii="Times New Roman" w:hAnsi="Times New Roman" w:eastAsia="仿宋_GB2312" w:cs="Times New Roman"/>
          <w:b/>
          <w:bCs/>
          <w:i w:val="0"/>
          <w:iCs w:val="0"/>
          <w:color w:val="000000"/>
          <w:kern w:val="0"/>
          <w:sz w:val="22"/>
          <w:szCs w:val="22"/>
          <w:highlight w:val="none"/>
          <w:u w:val="none"/>
          <w:lang w:val="en-US" w:eastAsia="zh-CN"/>
        </w:rPr>
        <w:t>（ 2024年度）</w:t>
      </w:r>
    </w:p>
    <w:tbl>
      <w:tblPr>
        <w:tblStyle w:val="12"/>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21"/>
        <w:gridCol w:w="821"/>
        <w:gridCol w:w="821"/>
        <w:gridCol w:w="2267"/>
        <w:gridCol w:w="1822"/>
        <w:gridCol w:w="821"/>
        <w:gridCol w:w="824"/>
        <w:gridCol w:w="821"/>
        <w:gridCol w:w="827"/>
        <w:gridCol w:w="821"/>
        <w:gridCol w:w="936"/>
        <w:gridCol w:w="916"/>
        <w:gridCol w:w="825"/>
        <w:gridCol w:w="828"/>
      </w:tblGrid>
      <w:tr w14:paraId="74ECAE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9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4657F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项目名称</w:t>
            </w:r>
          </w:p>
        </w:tc>
        <w:tc>
          <w:tcPr>
            <w:tcW w:w="4409" w:type="pct"/>
            <w:gridSpan w:val="12"/>
            <w:tcBorders>
              <w:top w:val="single" w:color="auto" w:sz="4" w:space="0"/>
              <w:left w:val="single" w:color="auto" w:sz="4" w:space="0"/>
              <w:bottom w:val="single" w:color="auto" w:sz="4" w:space="0"/>
              <w:right w:val="single" w:color="auto" w:sz="4" w:space="0"/>
            </w:tcBorders>
            <w:shd w:val="clear" w:color="auto" w:fill="auto"/>
            <w:vAlign w:val="center"/>
          </w:tcPr>
          <w:p w14:paraId="506474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博湖县妇女儿童工作经费项目</w:t>
            </w:r>
          </w:p>
        </w:tc>
      </w:tr>
      <w:tr w14:paraId="7B2599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9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E28E5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主管部门</w:t>
            </w:r>
          </w:p>
        </w:tc>
        <w:tc>
          <w:tcPr>
            <w:tcW w:w="2338"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52B33C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博湖县妇女联合会</w:t>
            </w:r>
          </w:p>
        </w:tc>
        <w:tc>
          <w:tcPr>
            <w:tcW w:w="59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98F25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实施单位</w:t>
            </w:r>
          </w:p>
        </w:tc>
        <w:tc>
          <w:tcPr>
            <w:tcW w:w="1479"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6615D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博湖县妇女联合会</w:t>
            </w:r>
          </w:p>
        </w:tc>
      </w:tr>
      <w:tr w14:paraId="72B046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59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20AD3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项目资金</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（万元）</w:t>
            </w:r>
          </w:p>
        </w:tc>
        <w:tc>
          <w:tcPr>
            <w:tcW w:w="109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E4178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资金来源</w:t>
            </w: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09BED7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年初预算数</w:t>
            </w:r>
          </w:p>
        </w:tc>
        <w:tc>
          <w:tcPr>
            <w:tcW w:w="59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352B4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全年预算数</w:t>
            </w:r>
          </w:p>
        </w:tc>
        <w:tc>
          <w:tcPr>
            <w:tcW w:w="59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C2DB8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全年执行数</w:t>
            </w:r>
          </w:p>
        </w:tc>
        <w:tc>
          <w:tcPr>
            <w:tcW w:w="59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CEDD6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分值权重</w:t>
            </w:r>
          </w:p>
        </w:tc>
        <w:tc>
          <w:tcPr>
            <w:tcW w:w="59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2CD03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执行率</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73301B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得分</w:t>
            </w:r>
          </w:p>
        </w:tc>
      </w:tr>
      <w:tr w14:paraId="50AE8F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590" w:type="pct"/>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635425C">
            <w:pPr>
              <w:jc w:val="center"/>
              <w:rPr>
                <w:rFonts w:hint="eastAsia" w:ascii="宋体" w:hAnsi="宋体" w:eastAsia="宋体" w:cs="宋体"/>
                <w:i w:val="0"/>
                <w:iCs w:val="0"/>
                <w:color w:val="000000"/>
                <w:sz w:val="18"/>
                <w:szCs w:val="18"/>
                <w:highlight w:val="none"/>
                <w:u w:val="none"/>
              </w:rPr>
            </w:pPr>
          </w:p>
        </w:tc>
        <w:tc>
          <w:tcPr>
            <w:tcW w:w="109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C09DE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年度资金总额</w:t>
            </w: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0E394C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1.94</w:t>
            </w:r>
          </w:p>
        </w:tc>
        <w:tc>
          <w:tcPr>
            <w:tcW w:w="59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BC6C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1.94</w:t>
            </w:r>
          </w:p>
        </w:tc>
        <w:tc>
          <w:tcPr>
            <w:tcW w:w="59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4CEC8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1.94</w:t>
            </w:r>
          </w:p>
        </w:tc>
        <w:tc>
          <w:tcPr>
            <w:tcW w:w="59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448CB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59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BFD60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100.00%</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6DCB02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10.00</w:t>
            </w:r>
          </w:p>
        </w:tc>
      </w:tr>
      <w:tr w14:paraId="734178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590" w:type="pct"/>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3C313E8">
            <w:pPr>
              <w:jc w:val="center"/>
              <w:rPr>
                <w:rFonts w:hint="eastAsia" w:ascii="宋体" w:hAnsi="宋体" w:eastAsia="宋体" w:cs="宋体"/>
                <w:i w:val="0"/>
                <w:iCs w:val="0"/>
                <w:color w:val="000000"/>
                <w:sz w:val="18"/>
                <w:szCs w:val="18"/>
                <w:highlight w:val="none"/>
                <w:u w:val="none"/>
              </w:rPr>
            </w:pPr>
          </w:p>
        </w:tc>
        <w:tc>
          <w:tcPr>
            <w:tcW w:w="109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E90F2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其中：当年财政拨款</w:t>
            </w: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7F2EDE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1.94</w:t>
            </w:r>
          </w:p>
        </w:tc>
        <w:tc>
          <w:tcPr>
            <w:tcW w:w="59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B71D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1.94</w:t>
            </w:r>
          </w:p>
        </w:tc>
        <w:tc>
          <w:tcPr>
            <w:tcW w:w="59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9D9E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1.94</w:t>
            </w:r>
          </w:p>
        </w:tc>
        <w:tc>
          <w:tcPr>
            <w:tcW w:w="59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A148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w:t>
            </w:r>
          </w:p>
        </w:tc>
        <w:tc>
          <w:tcPr>
            <w:tcW w:w="59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BCFDC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7DF250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w:t>
            </w:r>
          </w:p>
        </w:tc>
      </w:tr>
      <w:tr w14:paraId="7F97C5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590" w:type="pct"/>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2C0CE74">
            <w:pPr>
              <w:jc w:val="center"/>
              <w:rPr>
                <w:rFonts w:hint="eastAsia" w:ascii="宋体" w:hAnsi="宋体" w:eastAsia="宋体" w:cs="宋体"/>
                <w:i w:val="0"/>
                <w:iCs w:val="0"/>
                <w:color w:val="000000"/>
                <w:sz w:val="18"/>
                <w:szCs w:val="18"/>
                <w:highlight w:val="none"/>
                <w:u w:val="none"/>
              </w:rPr>
            </w:pPr>
          </w:p>
        </w:tc>
        <w:tc>
          <w:tcPr>
            <w:tcW w:w="109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7EF1A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其他资金</w:t>
            </w: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0DCFC2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0</w:t>
            </w:r>
          </w:p>
        </w:tc>
        <w:tc>
          <w:tcPr>
            <w:tcW w:w="59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79D7A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0</w:t>
            </w:r>
          </w:p>
        </w:tc>
        <w:tc>
          <w:tcPr>
            <w:tcW w:w="59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8EFF368">
            <w:pPr>
              <w:jc w:val="center"/>
              <w:rPr>
                <w:rFonts w:hint="eastAsia" w:ascii="宋体" w:hAnsi="宋体" w:eastAsia="宋体" w:cs="宋体"/>
                <w:i w:val="0"/>
                <w:iCs w:val="0"/>
                <w:color w:val="000000"/>
                <w:sz w:val="18"/>
                <w:szCs w:val="18"/>
                <w:highlight w:val="none"/>
                <w:u w:val="none"/>
              </w:rPr>
            </w:pPr>
          </w:p>
        </w:tc>
        <w:tc>
          <w:tcPr>
            <w:tcW w:w="59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5C27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w:t>
            </w:r>
          </w:p>
        </w:tc>
        <w:tc>
          <w:tcPr>
            <w:tcW w:w="59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936C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685655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w:t>
            </w:r>
          </w:p>
        </w:tc>
      </w:tr>
      <w:tr w14:paraId="385B8E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9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15005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年度总体目标</w:t>
            </w:r>
          </w:p>
        </w:tc>
        <w:tc>
          <w:tcPr>
            <w:tcW w:w="3225"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772590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总体目标</w:t>
            </w:r>
          </w:p>
        </w:tc>
        <w:tc>
          <w:tcPr>
            <w:tcW w:w="1479"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02A271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总体目标完成情况</w:t>
            </w:r>
          </w:p>
        </w:tc>
      </w:tr>
      <w:tr w14:paraId="0E2A2F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80" w:hRule="atLeast"/>
        </w:trPr>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AAD78FC">
            <w:pPr>
              <w:jc w:val="center"/>
              <w:rPr>
                <w:rFonts w:hint="eastAsia" w:ascii="宋体" w:hAnsi="宋体" w:eastAsia="宋体" w:cs="宋体"/>
                <w:i w:val="0"/>
                <w:iCs w:val="0"/>
                <w:color w:val="000000"/>
                <w:sz w:val="18"/>
                <w:szCs w:val="18"/>
                <w:highlight w:val="none"/>
                <w:u w:val="none"/>
              </w:rPr>
            </w:pPr>
          </w:p>
        </w:tc>
        <w:tc>
          <w:tcPr>
            <w:tcW w:w="3225"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09600B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根据巴州妇联《关于举办自治州第二届语润家国情</w:t>
            </w:r>
            <w:r>
              <w:rPr>
                <w:rFonts w:hint="eastAsia" w:ascii="宋体" w:hAnsi="宋体" w:cs="宋体"/>
                <w:i w:val="0"/>
                <w:iCs w:val="0"/>
                <w:color w:val="000000"/>
                <w:kern w:val="0"/>
                <w:sz w:val="18"/>
                <w:szCs w:val="18"/>
                <w:highlight w:val="none"/>
                <w:u w:val="none"/>
                <w:lang w:val="en-US" w:eastAsia="zh-CN"/>
              </w:rPr>
              <w:t>“</w:t>
            </w:r>
            <w:r>
              <w:rPr>
                <w:rFonts w:hint="eastAsia" w:ascii="宋体" w:hAnsi="宋体" w:eastAsia="宋体" w:cs="宋体"/>
                <w:i w:val="0"/>
                <w:iCs w:val="0"/>
                <w:color w:val="000000"/>
                <w:kern w:val="0"/>
                <w:sz w:val="18"/>
                <w:szCs w:val="18"/>
                <w:highlight w:val="none"/>
                <w:u w:val="none"/>
                <w:lang w:val="en-US" w:eastAsia="zh-CN"/>
              </w:rPr>
              <w:t>石榴花·小手拉大手 全家一起学”家庭学用国家通用语言文字展示大赛》的文件要求，通过参加自治州“三八”活动一次，参加人数26人，参加自治州第二届国通语展示大赛一次，参加人数12人，保障164.98㎡的办公区域供暖，达到进一步激发广大妇女在新时代新征程上创新、实干、奋斗的热情，提高各族妇女参与社会建设的积极性；积极引领博湖县广大农村家庭学用国家通用语言文字，促进各族妇女铸牢中华民族共同体意识。</w:t>
            </w:r>
          </w:p>
        </w:tc>
        <w:tc>
          <w:tcPr>
            <w:tcW w:w="1479"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56786F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选送26人参加为期一天的自治州“三八”活动，组织12人参加为期一天的自治州第二届国通语展示大赛，保障供暖面积105.21平方米，提高了妇女参与社会建设的积极性。</w:t>
            </w:r>
          </w:p>
        </w:tc>
      </w:tr>
      <w:tr w14:paraId="066B04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0" w:hRule="atLeast"/>
        </w:trPr>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257B648A">
            <w:pPr>
              <w:jc w:val="center"/>
              <w:rPr>
                <w:rFonts w:hint="eastAsia" w:ascii="宋体" w:hAnsi="宋体" w:eastAsia="宋体" w:cs="宋体"/>
                <w:i w:val="0"/>
                <w:iCs w:val="0"/>
                <w:color w:val="000000"/>
                <w:sz w:val="18"/>
                <w:szCs w:val="18"/>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0C9ACC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一级指标</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4B3960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二级指标</w:t>
            </w:r>
          </w:p>
        </w:tc>
        <w:tc>
          <w:tcPr>
            <w:tcW w:w="804" w:type="pct"/>
            <w:tcBorders>
              <w:top w:val="single" w:color="auto" w:sz="4" w:space="0"/>
              <w:left w:val="single" w:color="auto" w:sz="4" w:space="0"/>
              <w:bottom w:val="single" w:color="auto" w:sz="4" w:space="0"/>
              <w:right w:val="single" w:color="auto" w:sz="4" w:space="0"/>
            </w:tcBorders>
            <w:shd w:val="clear" w:color="auto" w:fill="auto"/>
            <w:vAlign w:val="center"/>
          </w:tcPr>
          <w:p w14:paraId="3D2734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三级指标</w:t>
            </w: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04FA4F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指标值</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6784A2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指标值设置依据</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66B6D3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上年完成值</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59DEB4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指标分值权重</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070CA2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指标赋分规则</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239CF6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佐证资料</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1A4E2E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指标实际完成值</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3CEB82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完成率</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429FCC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指标得分</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1210A6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偏差原因分析及改进措施</w:t>
            </w:r>
          </w:p>
        </w:tc>
      </w:tr>
      <w:tr w14:paraId="3E30F0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9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49A57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年度绩效指标完成情况</w:t>
            </w:r>
          </w:p>
        </w:tc>
        <w:tc>
          <w:tcPr>
            <w:tcW w:w="29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26FC63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产出指标</w:t>
            </w:r>
          </w:p>
        </w:tc>
        <w:tc>
          <w:tcPr>
            <w:tcW w:w="29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E8977B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数量指标</w:t>
            </w:r>
          </w:p>
        </w:tc>
        <w:tc>
          <w:tcPr>
            <w:tcW w:w="804" w:type="pct"/>
            <w:tcBorders>
              <w:top w:val="single" w:color="auto" w:sz="4" w:space="0"/>
              <w:left w:val="single" w:color="auto" w:sz="4" w:space="0"/>
              <w:bottom w:val="single" w:color="auto" w:sz="4" w:space="0"/>
              <w:right w:val="single" w:color="auto" w:sz="4" w:space="0"/>
            </w:tcBorders>
            <w:shd w:val="clear" w:color="auto" w:fill="auto"/>
            <w:vAlign w:val="center"/>
          </w:tcPr>
          <w:p w14:paraId="477E275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参加自治州“三八”活动次数</w:t>
            </w: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02757F4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&gt;=1次</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0151B92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计划标准</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2ECB1C5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0C2C0B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640644A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按照正常比例赋分</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65C70A3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工作资料</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135F13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=1次</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556C77CC">
            <w:pPr>
              <w:keepNext w:val="0"/>
              <w:keepLines w:val="0"/>
              <w:widowControl/>
              <w:suppressLineNumbers w:val="0"/>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100%</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2BF1C3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48C5DB13">
            <w:pPr>
              <w:jc w:val="center"/>
              <w:rPr>
                <w:rFonts w:hint="eastAsia" w:ascii="宋体" w:hAnsi="宋体" w:eastAsia="宋体" w:cs="宋体"/>
                <w:i w:val="0"/>
                <w:iCs w:val="0"/>
                <w:color w:val="000000"/>
                <w:sz w:val="18"/>
                <w:szCs w:val="18"/>
                <w:highlight w:val="none"/>
                <w:u w:val="none"/>
              </w:rPr>
            </w:pPr>
          </w:p>
        </w:tc>
      </w:tr>
      <w:tr w14:paraId="5DA0A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6928832">
            <w:pPr>
              <w:jc w:val="center"/>
              <w:rPr>
                <w:rFonts w:hint="eastAsia" w:ascii="宋体" w:hAnsi="宋体" w:eastAsia="宋体" w:cs="宋体"/>
                <w:i w:val="0"/>
                <w:iCs w:val="0"/>
                <w:color w:val="000000"/>
                <w:sz w:val="20"/>
                <w:szCs w:val="20"/>
                <w:highlight w:val="none"/>
                <w:u w:val="none"/>
              </w:rPr>
            </w:pPr>
          </w:p>
        </w:tc>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678AC99">
            <w:pPr>
              <w:jc w:val="center"/>
              <w:rPr>
                <w:rFonts w:hint="eastAsia" w:ascii="宋体" w:hAnsi="宋体" w:eastAsia="宋体" w:cs="宋体"/>
                <w:i w:val="0"/>
                <w:iCs w:val="0"/>
                <w:color w:val="000000"/>
                <w:sz w:val="20"/>
                <w:szCs w:val="20"/>
                <w:highlight w:val="none"/>
                <w:u w:val="none"/>
              </w:rPr>
            </w:pPr>
          </w:p>
        </w:tc>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27CF1F5">
            <w:pPr>
              <w:jc w:val="center"/>
              <w:rPr>
                <w:rFonts w:hint="eastAsia" w:ascii="宋体" w:hAnsi="宋体" w:eastAsia="宋体" w:cs="宋体"/>
                <w:i w:val="0"/>
                <w:iCs w:val="0"/>
                <w:color w:val="000000"/>
                <w:sz w:val="20"/>
                <w:szCs w:val="20"/>
                <w:highlight w:val="none"/>
                <w:u w:val="none"/>
              </w:rPr>
            </w:pPr>
          </w:p>
        </w:tc>
        <w:tc>
          <w:tcPr>
            <w:tcW w:w="804" w:type="pct"/>
            <w:tcBorders>
              <w:top w:val="single" w:color="auto" w:sz="4" w:space="0"/>
              <w:left w:val="single" w:color="auto" w:sz="4" w:space="0"/>
              <w:bottom w:val="single" w:color="auto" w:sz="4" w:space="0"/>
              <w:right w:val="single" w:color="auto" w:sz="4" w:space="0"/>
            </w:tcBorders>
            <w:shd w:val="clear" w:color="auto" w:fill="auto"/>
            <w:vAlign w:val="center"/>
          </w:tcPr>
          <w:p w14:paraId="21CB7E4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参加自治州第二届国通语展示大赛次数</w:t>
            </w: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5F52CA4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&gt;=1次</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500686C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计划标准</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51E04AC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6ACDCC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154E679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按照正常比例赋分</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2580945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工作资料</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136100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=1次</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29F1E97C">
            <w:pPr>
              <w:keepNext w:val="0"/>
              <w:keepLines w:val="0"/>
              <w:widowControl/>
              <w:suppressLineNumbers w:val="0"/>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100%</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30E024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232CEC8E">
            <w:pPr>
              <w:jc w:val="center"/>
              <w:rPr>
                <w:rFonts w:hint="eastAsia" w:ascii="宋体" w:hAnsi="宋体" w:eastAsia="宋体" w:cs="宋体"/>
                <w:i w:val="0"/>
                <w:iCs w:val="0"/>
                <w:color w:val="000000"/>
                <w:sz w:val="18"/>
                <w:szCs w:val="18"/>
                <w:highlight w:val="none"/>
                <w:u w:val="none"/>
              </w:rPr>
            </w:pPr>
          </w:p>
        </w:tc>
      </w:tr>
      <w:tr w14:paraId="566876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61201DF">
            <w:pPr>
              <w:jc w:val="center"/>
              <w:rPr>
                <w:rFonts w:hint="eastAsia" w:ascii="宋体" w:hAnsi="宋体" w:eastAsia="宋体" w:cs="宋体"/>
                <w:i w:val="0"/>
                <w:iCs w:val="0"/>
                <w:color w:val="000000"/>
                <w:sz w:val="20"/>
                <w:szCs w:val="20"/>
                <w:highlight w:val="none"/>
                <w:u w:val="none"/>
              </w:rPr>
            </w:pPr>
          </w:p>
        </w:tc>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477F2B1">
            <w:pPr>
              <w:jc w:val="center"/>
              <w:rPr>
                <w:rFonts w:hint="eastAsia" w:ascii="宋体" w:hAnsi="宋体" w:eastAsia="宋体" w:cs="宋体"/>
                <w:i w:val="0"/>
                <w:iCs w:val="0"/>
                <w:color w:val="000000"/>
                <w:sz w:val="20"/>
                <w:szCs w:val="20"/>
                <w:highlight w:val="none"/>
                <w:u w:val="none"/>
              </w:rPr>
            </w:pPr>
          </w:p>
        </w:tc>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F2BFA3F">
            <w:pPr>
              <w:jc w:val="center"/>
              <w:rPr>
                <w:rFonts w:hint="eastAsia" w:ascii="宋体" w:hAnsi="宋体" w:eastAsia="宋体" w:cs="宋体"/>
                <w:i w:val="0"/>
                <w:iCs w:val="0"/>
                <w:color w:val="000000"/>
                <w:sz w:val="20"/>
                <w:szCs w:val="20"/>
                <w:highlight w:val="none"/>
                <w:u w:val="none"/>
              </w:rPr>
            </w:pPr>
          </w:p>
        </w:tc>
        <w:tc>
          <w:tcPr>
            <w:tcW w:w="804" w:type="pct"/>
            <w:tcBorders>
              <w:top w:val="single" w:color="auto" w:sz="4" w:space="0"/>
              <w:left w:val="single" w:color="auto" w:sz="4" w:space="0"/>
              <w:bottom w:val="single" w:color="auto" w:sz="4" w:space="0"/>
              <w:right w:val="single" w:color="auto" w:sz="4" w:space="0"/>
            </w:tcBorders>
            <w:shd w:val="clear" w:color="auto" w:fill="auto"/>
            <w:vAlign w:val="center"/>
          </w:tcPr>
          <w:p w14:paraId="57E2A68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参加自治州“三八”活动天数</w:t>
            </w: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2977B66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=1天</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0B171E5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计划标准</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130523E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210AEA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3E670EE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按照正常比例赋分</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2FCD0AB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工作资料</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4DF619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=1天</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18B37BAF">
            <w:pPr>
              <w:keepNext w:val="0"/>
              <w:keepLines w:val="0"/>
              <w:widowControl/>
              <w:suppressLineNumbers w:val="0"/>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100%</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201F61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04825279">
            <w:pPr>
              <w:jc w:val="center"/>
              <w:rPr>
                <w:rFonts w:hint="eastAsia" w:ascii="宋体" w:hAnsi="宋体" w:eastAsia="宋体" w:cs="宋体"/>
                <w:i w:val="0"/>
                <w:iCs w:val="0"/>
                <w:color w:val="000000"/>
                <w:sz w:val="18"/>
                <w:szCs w:val="18"/>
                <w:highlight w:val="none"/>
                <w:u w:val="none"/>
              </w:rPr>
            </w:pPr>
          </w:p>
        </w:tc>
      </w:tr>
      <w:tr w14:paraId="399D9D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7CD097E">
            <w:pPr>
              <w:jc w:val="center"/>
              <w:rPr>
                <w:rFonts w:hint="eastAsia" w:ascii="宋体" w:hAnsi="宋体" w:eastAsia="宋体" w:cs="宋体"/>
                <w:i w:val="0"/>
                <w:iCs w:val="0"/>
                <w:color w:val="000000"/>
                <w:sz w:val="20"/>
                <w:szCs w:val="20"/>
                <w:highlight w:val="none"/>
                <w:u w:val="none"/>
              </w:rPr>
            </w:pPr>
          </w:p>
        </w:tc>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7E28AC2">
            <w:pPr>
              <w:jc w:val="center"/>
              <w:rPr>
                <w:rFonts w:hint="eastAsia" w:ascii="宋体" w:hAnsi="宋体" w:eastAsia="宋体" w:cs="宋体"/>
                <w:i w:val="0"/>
                <w:iCs w:val="0"/>
                <w:color w:val="000000"/>
                <w:sz w:val="20"/>
                <w:szCs w:val="20"/>
                <w:highlight w:val="none"/>
                <w:u w:val="none"/>
              </w:rPr>
            </w:pPr>
          </w:p>
        </w:tc>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AE6E786">
            <w:pPr>
              <w:jc w:val="center"/>
              <w:rPr>
                <w:rFonts w:hint="eastAsia" w:ascii="宋体" w:hAnsi="宋体" w:eastAsia="宋体" w:cs="宋体"/>
                <w:i w:val="0"/>
                <w:iCs w:val="0"/>
                <w:color w:val="000000"/>
                <w:sz w:val="20"/>
                <w:szCs w:val="20"/>
                <w:highlight w:val="none"/>
                <w:u w:val="none"/>
              </w:rPr>
            </w:pPr>
          </w:p>
        </w:tc>
        <w:tc>
          <w:tcPr>
            <w:tcW w:w="804" w:type="pct"/>
            <w:tcBorders>
              <w:top w:val="single" w:color="auto" w:sz="4" w:space="0"/>
              <w:left w:val="single" w:color="auto" w:sz="4" w:space="0"/>
              <w:bottom w:val="single" w:color="auto" w:sz="4" w:space="0"/>
              <w:right w:val="single" w:color="auto" w:sz="4" w:space="0"/>
            </w:tcBorders>
            <w:shd w:val="clear" w:color="auto" w:fill="auto"/>
            <w:vAlign w:val="center"/>
          </w:tcPr>
          <w:p w14:paraId="0FE888A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参加自治州“三八”活动人数</w:t>
            </w: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15DFC39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=26人</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7CF640A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计划标准</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71EB34C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100B97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4A9575D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按照正常比例赋分</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730D365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工作资料</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5F7003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=26人</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12BBAD04">
            <w:pPr>
              <w:keepNext w:val="0"/>
              <w:keepLines w:val="0"/>
              <w:widowControl/>
              <w:suppressLineNumbers w:val="0"/>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100%</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65AB9E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1CDEC100">
            <w:pPr>
              <w:jc w:val="center"/>
              <w:rPr>
                <w:rFonts w:hint="eastAsia" w:ascii="宋体" w:hAnsi="宋体" w:eastAsia="宋体" w:cs="宋体"/>
                <w:i w:val="0"/>
                <w:iCs w:val="0"/>
                <w:color w:val="000000"/>
                <w:sz w:val="18"/>
                <w:szCs w:val="18"/>
                <w:highlight w:val="none"/>
                <w:u w:val="none"/>
              </w:rPr>
            </w:pPr>
          </w:p>
        </w:tc>
      </w:tr>
      <w:tr w14:paraId="198F40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6A222E1">
            <w:pPr>
              <w:jc w:val="center"/>
              <w:rPr>
                <w:rFonts w:hint="eastAsia" w:ascii="宋体" w:hAnsi="宋体" w:eastAsia="宋体" w:cs="宋体"/>
                <w:i w:val="0"/>
                <w:iCs w:val="0"/>
                <w:color w:val="000000"/>
                <w:sz w:val="20"/>
                <w:szCs w:val="20"/>
                <w:highlight w:val="none"/>
                <w:u w:val="none"/>
              </w:rPr>
            </w:pPr>
          </w:p>
        </w:tc>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3507B51">
            <w:pPr>
              <w:jc w:val="center"/>
              <w:rPr>
                <w:rFonts w:hint="eastAsia" w:ascii="宋体" w:hAnsi="宋体" w:eastAsia="宋体" w:cs="宋体"/>
                <w:i w:val="0"/>
                <w:iCs w:val="0"/>
                <w:color w:val="000000"/>
                <w:sz w:val="20"/>
                <w:szCs w:val="20"/>
                <w:highlight w:val="none"/>
                <w:u w:val="none"/>
              </w:rPr>
            </w:pPr>
          </w:p>
        </w:tc>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1B2B05E">
            <w:pPr>
              <w:jc w:val="center"/>
              <w:rPr>
                <w:rFonts w:hint="eastAsia" w:ascii="宋体" w:hAnsi="宋体" w:eastAsia="宋体" w:cs="宋体"/>
                <w:i w:val="0"/>
                <w:iCs w:val="0"/>
                <w:color w:val="000000"/>
                <w:sz w:val="20"/>
                <w:szCs w:val="20"/>
                <w:highlight w:val="none"/>
                <w:u w:val="none"/>
              </w:rPr>
            </w:pPr>
          </w:p>
        </w:tc>
        <w:tc>
          <w:tcPr>
            <w:tcW w:w="804" w:type="pct"/>
            <w:tcBorders>
              <w:top w:val="single" w:color="auto" w:sz="4" w:space="0"/>
              <w:left w:val="single" w:color="auto" w:sz="4" w:space="0"/>
              <w:bottom w:val="single" w:color="auto" w:sz="4" w:space="0"/>
              <w:right w:val="single" w:color="auto" w:sz="4" w:space="0"/>
            </w:tcBorders>
            <w:shd w:val="clear" w:color="auto" w:fill="auto"/>
            <w:vAlign w:val="center"/>
          </w:tcPr>
          <w:p w14:paraId="62F4A30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参加自治州</w:t>
            </w:r>
            <w:r>
              <w:rPr>
                <w:rFonts w:hint="eastAsia" w:ascii="宋体" w:hAnsi="宋体" w:cs="宋体"/>
                <w:i w:val="0"/>
                <w:iCs w:val="0"/>
                <w:color w:val="000000"/>
                <w:kern w:val="0"/>
                <w:sz w:val="20"/>
                <w:szCs w:val="20"/>
                <w:highlight w:val="none"/>
                <w:u w:val="none"/>
                <w:lang w:val="en-US" w:eastAsia="zh-CN"/>
              </w:rPr>
              <w:t>第二届</w:t>
            </w:r>
            <w:r>
              <w:rPr>
                <w:rFonts w:hint="eastAsia" w:ascii="宋体" w:hAnsi="宋体" w:eastAsia="宋体" w:cs="宋体"/>
                <w:i w:val="0"/>
                <w:iCs w:val="0"/>
                <w:color w:val="000000"/>
                <w:kern w:val="0"/>
                <w:sz w:val="20"/>
                <w:szCs w:val="20"/>
                <w:highlight w:val="none"/>
                <w:u w:val="none"/>
                <w:lang w:val="en-US" w:eastAsia="zh-CN"/>
              </w:rPr>
              <w:t>国通语展示大赛人数</w:t>
            </w: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276B8B7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=12人</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45BE720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计划标准</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12F32FA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3C0427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59DF08A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按照正常比例赋分</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207EAFE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工作资料</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12DAB0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=12人</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20B9BC19">
            <w:pPr>
              <w:keepNext w:val="0"/>
              <w:keepLines w:val="0"/>
              <w:widowControl/>
              <w:suppressLineNumbers w:val="0"/>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100%</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0F621E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71BA681D">
            <w:pPr>
              <w:jc w:val="center"/>
              <w:rPr>
                <w:rFonts w:hint="eastAsia" w:ascii="宋体" w:hAnsi="宋体" w:eastAsia="宋体" w:cs="宋体"/>
                <w:i w:val="0"/>
                <w:iCs w:val="0"/>
                <w:color w:val="000000"/>
                <w:sz w:val="18"/>
                <w:szCs w:val="18"/>
                <w:highlight w:val="none"/>
                <w:u w:val="none"/>
              </w:rPr>
            </w:pPr>
          </w:p>
        </w:tc>
      </w:tr>
      <w:tr w14:paraId="651692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4633C24">
            <w:pPr>
              <w:jc w:val="center"/>
              <w:rPr>
                <w:rFonts w:hint="eastAsia" w:ascii="宋体" w:hAnsi="宋体" w:eastAsia="宋体" w:cs="宋体"/>
                <w:i w:val="0"/>
                <w:iCs w:val="0"/>
                <w:color w:val="000000"/>
                <w:sz w:val="20"/>
                <w:szCs w:val="20"/>
                <w:highlight w:val="none"/>
                <w:u w:val="none"/>
              </w:rPr>
            </w:pPr>
          </w:p>
        </w:tc>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53BBC1B">
            <w:pPr>
              <w:jc w:val="center"/>
              <w:rPr>
                <w:rFonts w:hint="eastAsia" w:ascii="宋体" w:hAnsi="宋体" w:eastAsia="宋体" w:cs="宋体"/>
                <w:i w:val="0"/>
                <w:iCs w:val="0"/>
                <w:color w:val="000000"/>
                <w:sz w:val="20"/>
                <w:szCs w:val="20"/>
                <w:highlight w:val="none"/>
                <w:u w:val="none"/>
              </w:rPr>
            </w:pPr>
          </w:p>
        </w:tc>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5AA16C2">
            <w:pPr>
              <w:jc w:val="center"/>
              <w:rPr>
                <w:rFonts w:hint="eastAsia" w:ascii="宋体" w:hAnsi="宋体" w:eastAsia="宋体" w:cs="宋体"/>
                <w:i w:val="0"/>
                <w:iCs w:val="0"/>
                <w:color w:val="000000"/>
                <w:sz w:val="20"/>
                <w:szCs w:val="20"/>
                <w:highlight w:val="none"/>
                <w:u w:val="none"/>
              </w:rPr>
            </w:pPr>
          </w:p>
        </w:tc>
        <w:tc>
          <w:tcPr>
            <w:tcW w:w="804" w:type="pct"/>
            <w:tcBorders>
              <w:top w:val="single" w:color="auto" w:sz="4" w:space="0"/>
              <w:left w:val="single" w:color="auto" w:sz="4" w:space="0"/>
              <w:bottom w:val="single" w:color="auto" w:sz="4" w:space="0"/>
              <w:right w:val="single" w:color="auto" w:sz="4" w:space="0"/>
            </w:tcBorders>
            <w:shd w:val="clear" w:color="auto" w:fill="auto"/>
            <w:vAlign w:val="center"/>
          </w:tcPr>
          <w:p w14:paraId="413B33F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参加自治州第二次国通语展示大赛天数</w:t>
            </w: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562AD8C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=1天</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5D37F72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计划标准</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59E6931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532EE8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23149BF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按照正常比例赋分</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0E6654C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工作资料</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651BB6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=1天</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7D8ECE9F">
            <w:pPr>
              <w:keepNext w:val="0"/>
              <w:keepLines w:val="0"/>
              <w:widowControl/>
              <w:suppressLineNumbers w:val="0"/>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100%</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4EE035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5923C4DD">
            <w:pPr>
              <w:jc w:val="center"/>
              <w:rPr>
                <w:rFonts w:hint="eastAsia" w:ascii="宋体" w:hAnsi="宋体" w:eastAsia="宋体" w:cs="宋体"/>
                <w:i w:val="0"/>
                <w:iCs w:val="0"/>
                <w:color w:val="000000"/>
                <w:sz w:val="18"/>
                <w:szCs w:val="18"/>
                <w:highlight w:val="none"/>
                <w:u w:val="none"/>
              </w:rPr>
            </w:pPr>
          </w:p>
        </w:tc>
      </w:tr>
      <w:tr w14:paraId="3EA9C0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9D919A9">
            <w:pPr>
              <w:jc w:val="center"/>
              <w:rPr>
                <w:rFonts w:hint="eastAsia" w:ascii="宋体" w:hAnsi="宋体" w:eastAsia="宋体" w:cs="宋体"/>
                <w:i w:val="0"/>
                <w:iCs w:val="0"/>
                <w:color w:val="000000"/>
                <w:sz w:val="20"/>
                <w:szCs w:val="20"/>
                <w:highlight w:val="none"/>
                <w:u w:val="none"/>
              </w:rPr>
            </w:pPr>
          </w:p>
        </w:tc>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05BDB4C">
            <w:pPr>
              <w:jc w:val="center"/>
              <w:rPr>
                <w:rFonts w:hint="eastAsia" w:ascii="宋体" w:hAnsi="宋体" w:eastAsia="宋体" w:cs="宋体"/>
                <w:i w:val="0"/>
                <w:iCs w:val="0"/>
                <w:color w:val="000000"/>
                <w:sz w:val="20"/>
                <w:szCs w:val="20"/>
                <w:highlight w:val="none"/>
                <w:u w:val="none"/>
              </w:rPr>
            </w:pPr>
          </w:p>
        </w:tc>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23FFC51">
            <w:pPr>
              <w:jc w:val="center"/>
              <w:rPr>
                <w:rFonts w:hint="eastAsia" w:ascii="宋体" w:hAnsi="宋体" w:eastAsia="宋体" w:cs="宋体"/>
                <w:i w:val="0"/>
                <w:iCs w:val="0"/>
                <w:color w:val="000000"/>
                <w:sz w:val="20"/>
                <w:szCs w:val="20"/>
                <w:highlight w:val="none"/>
                <w:u w:val="none"/>
              </w:rPr>
            </w:pPr>
          </w:p>
        </w:tc>
        <w:tc>
          <w:tcPr>
            <w:tcW w:w="804" w:type="pct"/>
            <w:tcBorders>
              <w:top w:val="single" w:color="auto" w:sz="4" w:space="0"/>
              <w:left w:val="single" w:color="auto" w:sz="4" w:space="0"/>
              <w:bottom w:val="single" w:color="auto" w:sz="4" w:space="0"/>
              <w:right w:val="single" w:color="auto" w:sz="4" w:space="0"/>
            </w:tcBorders>
            <w:shd w:val="clear" w:color="auto" w:fill="auto"/>
            <w:vAlign w:val="center"/>
          </w:tcPr>
          <w:p w14:paraId="0415113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保障供暖面积</w:t>
            </w: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2F538C5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=164.98平方米</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00A6722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计划标准</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4E13BD5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5A5244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78F89C4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按照正常比例赋分</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1B7AAFA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工作资料</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213A95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=105.21平方米</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740F88B5">
            <w:pPr>
              <w:keepNext w:val="0"/>
              <w:keepLines w:val="0"/>
              <w:widowControl/>
              <w:suppressLineNumbers w:val="0"/>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63.77%</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4A6BF3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0.38</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7563BA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偏差原因：根据实际情况保障供暖面积为105.21平方米。改进措施：下年度在项目开始前综合考量可能影响项目实施进度的因素做好应急计划，并在项目实施期间及时调整。</w:t>
            </w:r>
          </w:p>
        </w:tc>
      </w:tr>
      <w:tr w14:paraId="52DFDD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AD9A74A">
            <w:pPr>
              <w:jc w:val="center"/>
              <w:rPr>
                <w:rFonts w:hint="eastAsia" w:ascii="宋体" w:hAnsi="宋体" w:eastAsia="宋体" w:cs="宋体"/>
                <w:i w:val="0"/>
                <w:iCs w:val="0"/>
                <w:color w:val="000000"/>
                <w:sz w:val="20"/>
                <w:szCs w:val="20"/>
                <w:highlight w:val="none"/>
                <w:u w:val="none"/>
              </w:rPr>
            </w:pPr>
          </w:p>
        </w:tc>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D1F0F45">
            <w:pPr>
              <w:jc w:val="center"/>
              <w:rPr>
                <w:rFonts w:hint="eastAsia" w:ascii="宋体" w:hAnsi="宋体" w:eastAsia="宋体" w:cs="宋体"/>
                <w:i w:val="0"/>
                <w:iCs w:val="0"/>
                <w:color w:val="000000"/>
                <w:sz w:val="20"/>
                <w:szCs w:val="20"/>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26DA57C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质量指标</w:t>
            </w:r>
          </w:p>
        </w:tc>
        <w:tc>
          <w:tcPr>
            <w:tcW w:w="804" w:type="pct"/>
            <w:tcBorders>
              <w:top w:val="single" w:color="auto" w:sz="4" w:space="0"/>
              <w:left w:val="single" w:color="auto" w:sz="4" w:space="0"/>
              <w:bottom w:val="single" w:color="auto" w:sz="4" w:space="0"/>
              <w:right w:val="single" w:color="auto" w:sz="4" w:space="0"/>
            </w:tcBorders>
            <w:shd w:val="clear" w:color="auto" w:fill="auto"/>
            <w:vAlign w:val="center"/>
          </w:tcPr>
          <w:p w14:paraId="47AF369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参加自治州“三八”活动及第二届国通语展示大赛经费保障率</w:t>
            </w: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3AC12C3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&gt;=95%</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6AB4ADE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计划标准</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17DABA4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5CBC8B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358FC0B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按照正常比例赋分</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0F04074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原始凭证</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6CC71B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36FBFD2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105.26%</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2A6069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3.79</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1EB9AC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 xml:space="preserve">偏差原因：参加自治州“三八”活动及第二届国通语展示大赛经费保障率为100%。改进措施：从严从高设置绩效指标。 </w:t>
            </w:r>
          </w:p>
        </w:tc>
      </w:tr>
      <w:tr w14:paraId="6DAAA3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97BA4E3">
            <w:pPr>
              <w:jc w:val="center"/>
              <w:rPr>
                <w:rFonts w:hint="eastAsia" w:ascii="宋体" w:hAnsi="宋体" w:eastAsia="宋体" w:cs="宋体"/>
                <w:i w:val="0"/>
                <w:iCs w:val="0"/>
                <w:color w:val="000000"/>
                <w:sz w:val="20"/>
                <w:szCs w:val="20"/>
                <w:highlight w:val="none"/>
                <w:u w:val="none"/>
              </w:rPr>
            </w:pPr>
          </w:p>
        </w:tc>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EFB35E7">
            <w:pPr>
              <w:jc w:val="center"/>
              <w:rPr>
                <w:rFonts w:hint="eastAsia" w:ascii="宋体" w:hAnsi="宋体" w:eastAsia="宋体" w:cs="宋体"/>
                <w:i w:val="0"/>
                <w:iCs w:val="0"/>
                <w:color w:val="000000"/>
                <w:sz w:val="20"/>
                <w:szCs w:val="20"/>
                <w:highlight w:val="none"/>
                <w:u w:val="none"/>
              </w:rPr>
            </w:pPr>
          </w:p>
        </w:tc>
        <w:tc>
          <w:tcPr>
            <w:tcW w:w="29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84F143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时效指标</w:t>
            </w:r>
          </w:p>
        </w:tc>
        <w:tc>
          <w:tcPr>
            <w:tcW w:w="804" w:type="pct"/>
            <w:tcBorders>
              <w:top w:val="single" w:color="auto" w:sz="4" w:space="0"/>
              <w:left w:val="single" w:color="auto" w:sz="4" w:space="0"/>
              <w:bottom w:val="single" w:color="auto" w:sz="4" w:space="0"/>
              <w:right w:val="single" w:color="auto" w:sz="4" w:space="0"/>
            </w:tcBorders>
            <w:shd w:val="clear" w:color="auto" w:fill="auto"/>
            <w:vAlign w:val="center"/>
          </w:tcPr>
          <w:p w14:paraId="748E691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参加自治州“三八”活动完成时间</w:t>
            </w: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41EEC37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2024年3月10日前</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3E14AFA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计划标准</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009B6B7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5881E8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4719419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直接赋分</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565F072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工作资料</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6319CA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2024年3月6日</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3097BBD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100%</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6E98D5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533BFF90">
            <w:pPr>
              <w:jc w:val="center"/>
              <w:rPr>
                <w:rFonts w:hint="eastAsia" w:ascii="宋体" w:hAnsi="宋体" w:eastAsia="宋体" w:cs="宋体"/>
                <w:i w:val="0"/>
                <w:iCs w:val="0"/>
                <w:color w:val="000000"/>
                <w:sz w:val="18"/>
                <w:szCs w:val="18"/>
                <w:highlight w:val="none"/>
                <w:u w:val="none"/>
              </w:rPr>
            </w:pPr>
          </w:p>
        </w:tc>
      </w:tr>
      <w:tr w14:paraId="41D57A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2C46D2B">
            <w:pPr>
              <w:jc w:val="center"/>
              <w:rPr>
                <w:rFonts w:hint="eastAsia" w:ascii="宋体" w:hAnsi="宋体" w:eastAsia="宋体" w:cs="宋体"/>
                <w:i w:val="0"/>
                <w:iCs w:val="0"/>
                <w:color w:val="000000"/>
                <w:sz w:val="20"/>
                <w:szCs w:val="20"/>
                <w:highlight w:val="none"/>
                <w:u w:val="none"/>
              </w:rPr>
            </w:pPr>
          </w:p>
        </w:tc>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3D98FF0">
            <w:pPr>
              <w:jc w:val="center"/>
              <w:rPr>
                <w:rFonts w:hint="eastAsia" w:ascii="宋体" w:hAnsi="宋体" w:eastAsia="宋体" w:cs="宋体"/>
                <w:i w:val="0"/>
                <w:iCs w:val="0"/>
                <w:color w:val="000000"/>
                <w:sz w:val="20"/>
                <w:szCs w:val="20"/>
                <w:highlight w:val="none"/>
                <w:u w:val="none"/>
              </w:rPr>
            </w:pPr>
          </w:p>
        </w:tc>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4191257">
            <w:pPr>
              <w:jc w:val="center"/>
              <w:rPr>
                <w:rFonts w:hint="eastAsia" w:ascii="宋体" w:hAnsi="宋体" w:eastAsia="宋体" w:cs="宋体"/>
                <w:i w:val="0"/>
                <w:iCs w:val="0"/>
                <w:color w:val="000000"/>
                <w:sz w:val="20"/>
                <w:szCs w:val="20"/>
                <w:highlight w:val="none"/>
                <w:u w:val="none"/>
              </w:rPr>
            </w:pPr>
          </w:p>
        </w:tc>
        <w:tc>
          <w:tcPr>
            <w:tcW w:w="804" w:type="pct"/>
            <w:tcBorders>
              <w:top w:val="single" w:color="auto" w:sz="4" w:space="0"/>
              <w:left w:val="single" w:color="auto" w:sz="4" w:space="0"/>
              <w:bottom w:val="single" w:color="auto" w:sz="4" w:space="0"/>
              <w:right w:val="single" w:color="auto" w:sz="4" w:space="0"/>
            </w:tcBorders>
            <w:shd w:val="clear" w:color="auto" w:fill="auto"/>
            <w:vAlign w:val="center"/>
          </w:tcPr>
          <w:p w14:paraId="6B3C060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参加自治州第二届国通语大赛完成时间</w:t>
            </w: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5F922BD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2024年8月1日前</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6391D0F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计划标准</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7478370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52413E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04F9E2B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直接赋分</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0B774EA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工作资料</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1B8C82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2024年7月10日</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08331CE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100%</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03AA35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5CD2BF97">
            <w:pPr>
              <w:jc w:val="center"/>
              <w:rPr>
                <w:rFonts w:hint="eastAsia" w:ascii="宋体" w:hAnsi="宋体" w:eastAsia="宋体" w:cs="宋体"/>
                <w:i w:val="0"/>
                <w:iCs w:val="0"/>
                <w:color w:val="000000"/>
                <w:sz w:val="18"/>
                <w:szCs w:val="18"/>
                <w:highlight w:val="none"/>
                <w:u w:val="none"/>
              </w:rPr>
            </w:pPr>
          </w:p>
        </w:tc>
      </w:tr>
      <w:tr w14:paraId="7105E1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388ECB1">
            <w:pPr>
              <w:jc w:val="center"/>
              <w:rPr>
                <w:rFonts w:hint="eastAsia" w:ascii="宋体" w:hAnsi="宋体" w:eastAsia="宋体" w:cs="宋体"/>
                <w:i w:val="0"/>
                <w:iCs w:val="0"/>
                <w:color w:val="000000"/>
                <w:sz w:val="20"/>
                <w:szCs w:val="20"/>
                <w:highlight w:val="none"/>
                <w:u w:val="none"/>
              </w:rPr>
            </w:pPr>
          </w:p>
        </w:tc>
        <w:tc>
          <w:tcPr>
            <w:tcW w:w="29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70E902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成本指标</w:t>
            </w:r>
          </w:p>
        </w:tc>
        <w:tc>
          <w:tcPr>
            <w:tcW w:w="29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5DB045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经济成本指标</w:t>
            </w:r>
          </w:p>
        </w:tc>
        <w:tc>
          <w:tcPr>
            <w:tcW w:w="804" w:type="pct"/>
            <w:tcBorders>
              <w:top w:val="single" w:color="auto" w:sz="4" w:space="0"/>
              <w:left w:val="single" w:color="auto" w:sz="4" w:space="0"/>
              <w:bottom w:val="single" w:color="auto" w:sz="4" w:space="0"/>
              <w:right w:val="single" w:color="auto" w:sz="4" w:space="0"/>
            </w:tcBorders>
            <w:shd w:val="clear" w:color="auto" w:fill="auto"/>
            <w:vAlign w:val="center"/>
          </w:tcPr>
          <w:p w14:paraId="7A4A4CB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参加自治州“三八”妇女节系列纪念活动经费</w:t>
            </w: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77FECA9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&lt;=14880元</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67CE7BB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计划标准</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37530BE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5DAAF7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351E1E1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按照正常比例赋分</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2E44118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原始凭证</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085907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=14880元</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551CBB1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100%</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0055ED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0C249C56">
            <w:pPr>
              <w:jc w:val="center"/>
              <w:rPr>
                <w:rFonts w:hint="eastAsia" w:ascii="宋体" w:hAnsi="宋体" w:eastAsia="宋体" w:cs="宋体"/>
                <w:i w:val="0"/>
                <w:iCs w:val="0"/>
                <w:color w:val="000000"/>
                <w:sz w:val="18"/>
                <w:szCs w:val="18"/>
                <w:highlight w:val="none"/>
                <w:u w:val="none"/>
              </w:rPr>
            </w:pPr>
          </w:p>
        </w:tc>
      </w:tr>
      <w:tr w14:paraId="00D32F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2B55A5C">
            <w:pPr>
              <w:jc w:val="center"/>
              <w:rPr>
                <w:rFonts w:hint="eastAsia" w:ascii="宋体" w:hAnsi="宋体" w:eastAsia="宋体" w:cs="宋体"/>
                <w:i w:val="0"/>
                <w:iCs w:val="0"/>
                <w:color w:val="000000"/>
                <w:sz w:val="20"/>
                <w:szCs w:val="20"/>
                <w:highlight w:val="none"/>
                <w:u w:val="none"/>
              </w:rPr>
            </w:pPr>
          </w:p>
        </w:tc>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69682D6">
            <w:pPr>
              <w:jc w:val="center"/>
              <w:rPr>
                <w:rFonts w:hint="eastAsia" w:ascii="宋体" w:hAnsi="宋体" w:eastAsia="宋体" w:cs="宋体"/>
                <w:i w:val="0"/>
                <w:iCs w:val="0"/>
                <w:color w:val="000000"/>
                <w:sz w:val="20"/>
                <w:szCs w:val="20"/>
                <w:highlight w:val="none"/>
                <w:u w:val="none"/>
              </w:rPr>
            </w:pPr>
          </w:p>
        </w:tc>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AA44A82">
            <w:pPr>
              <w:jc w:val="center"/>
              <w:rPr>
                <w:rFonts w:hint="eastAsia" w:ascii="宋体" w:hAnsi="宋体" w:eastAsia="宋体" w:cs="宋体"/>
                <w:i w:val="0"/>
                <w:iCs w:val="0"/>
                <w:color w:val="000000"/>
                <w:sz w:val="20"/>
                <w:szCs w:val="20"/>
                <w:highlight w:val="none"/>
                <w:u w:val="none"/>
              </w:rPr>
            </w:pPr>
          </w:p>
        </w:tc>
        <w:tc>
          <w:tcPr>
            <w:tcW w:w="804" w:type="pct"/>
            <w:tcBorders>
              <w:top w:val="single" w:color="auto" w:sz="4" w:space="0"/>
              <w:left w:val="single" w:color="auto" w:sz="4" w:space="0"/>
              <w:bottom w:val="single" w:color="auto" w:sz="4" w:space="0"/>
              <w:right w:val="single" w:color="auto" w:sz="4" w:space="0"/>
            </w:tcBorders>
            <w:shd w:val="clear" w:color="auto" w:fill="auto"/>
            <w:vAlign w:val="center"/>
          </w:tcPr>
          <w:p w14:paraId="4EBA7B2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2024-2025年办公区域取暖费</w:t>
            </w: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4496C12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&lt;=2262.07元</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14B3E89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计划标准</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6FE21BC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36D327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4FAB3E4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按照正常比例赋分</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5899BA0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原始凭证</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588DDA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=2262.07元</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153F31C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100%</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78F2E1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04EF7D60">
            <w:pPr>
              <w:jc w:val="center"/>
              <w:rPr>
                <w:rFonts w:hint="eastAsia" w:ascii="宋体" w:hAnsi="宋体" w:eastAsia="宋体" w:cs="宋体"/>
                <w:i w:val="0"/>
                <w:iCs w:val="0"/>
                <w:color w:val="000000"/>
                <w:sz w:val="18"/>
                <w:szCs w:val="18"/>
                <w:highlight w:val="none"/>
                <w:u w:val="none"/>
              </w:rPr>
            </w:pPr>
          </w:p>
        </w:tc>
      </w:tr>
      <w:tr w14:paraId="6CEF9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E9C88A4">
            <w:pPr>
              <w:jc w:val="center"/>
              <w:rPr>
                <w:rFonts w:hint="eastAsia" w:ascii="宋体" w:hAnsi="宋体" w:eastAsia="宋体" w:cs="宋体"/>
                <w:i w:val="0"/>
                <w:iCs w:val="0"/>
                <w:color w:val="000000"/>
                <w:sz w:val="20"/>
                <w:szCs w:val="20"/>
                <w:highlight w:val="none"/>
                <w:u w:val="none"/>
              </w:rPr>
            </w:pPr>
          </w:p>
        </w:tc>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63D0711">
            <w:pPr>
              <w:jc w:val="center"/>
              <w:rPr>
                <w:rFonts w:hint="eastAsia" w:ascii="宋体" w:hAnsi="宋体" w:eastAsia="宋体" w:cs="宋体"/>
                <w:i w:val="0"/>
                <w:iCs w:val="0"/>
                <w:color w:val="000000"/>
                <w:sz w:val="20"/>
                <w:szCs w:val="20"/>
                <w:highlight w:val="none"/>
                <w:u w:val="none"/>
              </w:rPr>
            </w:pPr>
          </w:p>
        </w:tc>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95BE810">
            <w:pPr>
              <w:jc w:val="center"/>
              <w:rPr>
                <w:rFonts w:hint="eastAsia" w:ascii="宋体" w:hAnsi="宋体" w:eastAsia="宋体" w:cs="宋体"/>
                <w:i w:val="0"/>
                <w:iCs w:val="0"/>
                <w:color w:val="000000"/>
                <w:sz w:val="20"/>
                <w:szCs w:val="20"/>
                <w:highlight w:val="none"/>
                <w:u w:val="none"/>
              </w:rPr>
            </w:pPr>
          </w:p>
        </w:tc>
        <w:tc>
          <w:tcPr>
            <w:tcW w:w="804" w:type="pct"/>
            <w:tcBorders>
              <w:top w:val="single" w:color="auto" w:sz="4" w:space="0"/>
              <w:left w:val="single" w:color="auto" w:sz="4" w:space="0"/>
              <w:bottom w:val="single" w:color="auto" w:sz="4" w:space="0"/>
              <w:right w:val="single" w:color="auto" w:sz="4" w:space="0"/>
            </w:tcBorders>
            <w:shd w:val="clear" w:color="auto" w:fill="auto"/>
            <w:vAlign w:val="center"/>
          </w:tcPr>
          <w:p w14:paraId="15750E9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参加自治州第二届国通语展示大赛经费</w:t>
            </w: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0833A96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&lt;=2220元</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3E4F7FD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计划标准</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5429B26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12853E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25C0717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按照正常比例赋分</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7480FF8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原始凭证</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1D8F50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=2220元</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3D3D5FA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100%</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284714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632C8E9F">
            <w:pPr>
              <w:jc w:val="center"/>
              <w:rPr>
                <w:rFonts w:hint="eastAsia" w:ascii="宋体" w:hAnsi="宋体" w:eastAsia="宋体" w:cs="宋体"/>
                <w:i w:val="0"/>
                <w:iCs w:val="0"/>
                <w:color w:val="000000"/>
                <w:sz w:val="18"/>
                <w:szCs w:val="18"/>
                <w:highlight w:val="none"/>
                <w:u w:val="none"/>
              </w:rPr>
            </w:pPr>
          </w:p>
        </w:tc>
      </w:tr>
      <w:tr w14:paraId="046121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D40FBFE">
            <w:pPr>
              <w:jc w:val="center"/>
              <w:rPr>
                <w:rFonts w:hint="eastAsia" w:ascii="宋体" w:hAnsi="宋体" w:eastAsia="宋体" w:cs="宋体"/>
                <w:i w:val="0"/>
                <w:iCs w:val="0"/>
                <w:color w:val="000000"/>
                <w:sz w:val="20"/>
                <w:szCs w:val="20"/>
                <w:highlight w:val="none"/>
                <w:u w:val="none"/>
              </w:rPr>
            </w:pPr>
          </w:p>
        </w:tc>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D77E603">
            <w:pPr>
              <w:jc w:val="center"/>
              <w:rPr>
                <w:rFonts w:hint="eastAsia" w:ascii="宋体" w:hAnsi="宋体" w:eastAsia="宋体" w:cs="宋体"/>
                <w:i w:val="0"/>
                <w:iCs w:val="0"/>
                <w:color w:val="000000"/>
                <w:sz w:val="20"/>
                <w:szCs w:val="20"/>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3A8111E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社会成本指标</w:t>
            </w:r>
          </w:p>
        </w:tc>
        <w:tc>
          <w:tcPr>
            <w:tcW w:w="804" w:type="pct"/>
            <w:tcBorders>
              <w:top w:val="single" w:color="auto" w:sz="4" w:space="0"/>
              <w:left w:val="single" w:color="auto" w:sz="4" w:space="0"/>
              <w:bottom w:val="single" w:color="auto" w:sz="4" w:space="0"/>
              <w:right w:val="single" w:color="auto" w:sz="4" w:space="0"/>
            </w:tcBorders>
            <w:shd w:val="clear" w:color="auto" w:fill="auto"/>
            <w:vAlign w:val="center"/>
          </w:tcPr>
          <w:p w14:paraId="09FD1FA2">
            <w:pPr>
              <w:rPr>
                <w:rFonts w:hint="eastAsia" w:ascii="宋体" w:hAnsi="宋体" w:eastAsia="宋体" w:cs="宋体"/>
                <w:i w:val="0"/>
                <w:iCs w:val="0"/>
                <w:color w:val="000000"/>
                <w:sz w:val="20"/>
                <w:szCs w:val="20"/>
                <w:highlight w:val="none"/>
                <w:u w:val="none"/>
              </w:rPr>
            </w:pP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634B919A">
            <w:pPr>
              <w:rPr>
                <w:rFonts w:hint="eastAsia" w:ascii="宋体" w:hAnsi="宋体" w:eastAsia="宋体" w:cs="宋体"/>
                <w:i w:val="0"/>
                <w:iCs w:val="0"/>
                <w:color w:val="000000"/>
                <w:sz w:val="20"/>
                <w:szCs w:val="20"/>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6481F688">
            <w:pPr>
              <w:rPr>
                <w:rFonts w:hint="eastAsia" w:ascii="宋体" w:hAnsi="宋体" w:eastAsia="宋体" w:cs="宋体"/>
                <w:i w:val="0"/>
                <w:iCs w:val="0"/>
                <w:color w:val="000000"/>
                <w:sz w:val="20"/>
                <w:szCs w:val="20"/>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2B7008A3">
            <w:pPr>
              <w:rPr>
                <w:rFonts w:hint="eastAsia" w:ascii="宋体" w:hAnsi="宋体" w:eastAsia="宋体" w:cs="宋体"/>
                <w:i w:val="0"/>
                <w:iCs w:val="0"/>
                <w:color w:val="000000"/>
                <w:sz w:val="20"/>
                <w:szCs w:val="20"/>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65CAC3B9">
            <w:pPr>
              <w:jc w:val="center"/>
              <w:rPr>
                <w:rFonts w:hint="eastAsia" w:ascii="宋体" w:hAnsi="宋体" w:eastAsia="宋体" w:cs="宋体"/>
                <w:i w:val="0"/>
                <w:iCs w:val="0"/>
                <w:color w:val="000000"/>
                <w:sz w:val="18"/>
                <w:szCs w:val="18"/>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1779AE59">
            <w:pPr>
              <w:rPr>
                <w:rFonts w:hint="eastAsia" w:ascii="宋体" w:hAnsi="宋体" w:eastAsia="宋体" w:cs="宋体"/>
                <w:i w:val="0"/>
                <w:iCs w:val="0"/>
                <w:color w:val="000000"/>
                <w:sz w:val="20"/>
                <w:szCs w:val="20"/>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4133C27A">
            <w:pPr>
              <w:rPr>
                <w:rFonts w:hint="eastAsia" w:ascii="宋体" w:hAnsi="宋体" w:eastAsia="宋体" w:cs="宋体"/>
                <w:i w:val="0"/>
                <w:iCs w:val="0"/>
                <w:color w:val="000000"/>
                <w:sz w:val="20"/>
                <w:szCs w:val="20"/>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2900A4FD">
            <w:pPr>
              <w:jc w:val="center"/>
              <w:rPr>
                <w:rFonts w:hint="eastAsia" w:ascii="宋体" w:hAnsi="宋体" w:eastAsia="宋体" w:cs="宋体"/>
                <w:i w:val="0"/>
                <w:iCs w:val="0"/>
                <w:color w:val="000000"/>
                <w:sz w:val="18"/>
                <w:szCs w:val="18"/>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52738AB3">
            <w:pPr>
              <w:rPr>
                <w:rFonts w:hint="eastAsia" w:ascii="宋体" w:hAnsi="宋体" w:eastAsia="宋体" w:cs="宋体"/>
                <w:i w:val="0"/>
                <w:iCs w:val="0"/>
                <w:color w:val="000000"/>
                <w:sz w:val="20"/>
                <w:szCs w:val="20"/>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69F9CEBE">
            <w:pPr>
              <w:jc w:val="center"/>
              <w:rPr>
                <w:rFonts w:hint="eastAsia" w:ascii="宋体" w:hAnsi="宋体" w:eastAsia="宋体" w:cs="宋体"/>
                <w:i w:val="0"/>
                <w:iCs w:val="0"/>
                <w:color w:val="000000"/>
                <w:sz w:val="18"/>
                <w:szCs w:val="18"/>
                <w:highlight w:val="none"/>
                <w:u w:val="none"/>
              </w:rPr>
            </w:pP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3E7C760B">
            <w:pPr>
              <w:jc w:val="center"/>
              <w:rPr>
                <w:rFonts w:hint="eastAsia" w:ascii="宋体" w:hAnsi="宋体" w:eastAsia="宋体" w:cs="宋体"/>
                <w:i w:val="0"/>
                <w:iCs w:val="0"/>
                <w:color w:val="000000"/>
                <w:sz w:val="18"/>
                <w:szCs w:val="18"/>
                <w:highlight w:val="none"/>
                <w:u w:val="none"/>
              </w:rPr>
            </w:pPr>
          </w:p>
        </w:tc>
      </w:tr>
      <w:tr w14:paraId="5A948D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F9A5FE4">
            <w:pPr>
              <w:jc w:val="center"/>
              <w:rPr>
                <w:rFonts w:hint="eastAsia" w:ascii="宋体" w:hAnsi="宋体" w:eastAsia="宋体" w:cs="宋体"/>
                <w:i w:val="0"/>
                <w:iCs w:val="0"/>
                <w:color w:val="000000"/>
                <w:sz w:val="20"/>
                <w:szCs w:val="20"/>
                <w:highlight w:val="none"/>
                <w:u w:val="none"/>
              </w:rPr>
            </w:pPr>
          </w:p>
        </w:tc>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2479DBD">
            <w:pPr>
              <w:jc w:val="center"/>
              <w:rPr>
                <w:rFonts w:hint="eastAsia" w:ascii="宋体" w:hAnsi="宋体" w:eastAsia="宋体" w:cs="宋体"/>
                <w:i w:val="0"/>
                <w:iCs w:val="0"/>
                <w:color w:val="000000"/>
                <w:sz w:val="20"/>
                <w:szCs w:val="20"/>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2C480CD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生态环境成本指标</w:t>
            </w:r>
          </w:p>
        </w:tc>
        <w:tc>
          <w:tcPr>
            <w:tcW w:w="804" w:type="pct"/>
            <w:tcBorders>
              <w:top w:val="single" w:color="auto" w:sz="4" w:space="0"/>
              <w:left w:val="single" w:color="auto" w:sz="4" w:space="0"/>
              <w:bottom w:val="single" w:color="auto" w:sz="4" w:space="0"/>
              <w:right w:val="single" w:color="auto" w:sz="4" w:space="0"/>
            </w:tcBorders>
            <w:shd w:val="clear" w:color="auto" w:fill="auto"/>
            <w:vAlign w:val="center"/>
          </w:tcPr>
          <w:p w14:paraId="63185FA7">
            <w:pPr>
              <w:rPr>
                <w:rFonts w:hint="eastAsia" w:ascii="宋体" w:hAnsi="宋体" w:eastAsia="宋体" w:cs="宋体"/>
                <w:i w:val="0"/>
                <w:iCs w:val="0"/>
                <w:color w:val="000000"/>
                <w:sz w:val="20"/>
                <w:szCs w:val="20"/>
                <w:highlight w:val="none"/>
                <w:u w:val="none"/>
              </w:rPr>
            </w:pP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55F74DFE">
            <w:pPr>
              <w:rPr>
                <w:rFonts w:hint="eastAsia" w:ascii="宋体" w:hAnsi="宋体" w:eastAsia="宋体" w:cs="宋体"/>
                <w:i w:val="0"/>
                <w:iCs w:val="0"/>
                <w:color w:val="000000"/>
                <w:sz w:val="20"/>
                <w:szCs w:val="20"/>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3088FF40">
            <w:pPr>
              <w:rPr>
                <w:rFonts w:hint="eastAsia" w:ascii="宋体" w:hAnsi="宋体" w:eastAsia="宋体" w:cs="宋体"/>
                <w:i w:val="0"/>
                <w:iCs w:val="0"/>
                <w:color w:val="000000"/>
                <w:sz w:val="20"/>
                <w:szCs w:val="20"/>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2B792406">
            <w:pPr>
              <w:rPr>
                <w:rFonts w:hint="eastAsia" w:ascii="宋体" w:hAnsi="宋体" w:eastAsia="宋体" w:cs="宋体"/>
                <w:i w:val="0"/>
                <w:iCs w:val="0"/>
                <w:color w:val="000000"/>
                <w:sz w:val="20"/>
                <w:szCs w:val="20"/>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517D449A">
            <w:pPr>
              <w:jc w:val="center"/>
              <w:rPr>
                <w:rFonts w:hint="eastAsia" w:ascii="宋体" w:hAnsi="宋体" w:eastAsia="宋体" w:cs="宋体"/>
                <w:i w:val="0"/>
                <w:iCs w:val="0"/>
                <w:color w:val="000000"/>
                <w:sz w:val="18"/>
                <w:szCs w:val="18"/>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22558DB6">
            <w:pPr>
              <w:rPr>
                <w:rFonts w:hint="eastAsia" w:ascii="宋体" w:hAnsi="宋体" w:eastAsia="宋体" w:cs="宋体"/>
                <w:i w:val="0"/>
                <w:iCs w:val="0"/>
                <w:color w:val="000000"/>
                <w:sz w:val="20"/>
                <w:szCs w:val="20"/>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1427C09D">
            <w:pPr>
              <w:rPr>
                <w:rFonts w:hint="eastAsia" w:ascii="宋体" w:hAnsi="宋体" w:eastAsia="宋体" w:cs="宋体"/>
                <w:i w:val="0"/>
                <w:iCs w:val="0"/>
                <w:color w:val="000000"/>
                <w:sz w:val="20"/>
                <w:szCs w:val="20"/>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74144CAC">
            <w:pPr>
              <w:jc w:val="center"/>
              <w:rPr>
                <w:rFonts w:hint="eastAsia" w:ascii="宋体" w:hAnsi="宋体" w:eastAsia="宋体" w:cs="宋体"/>
                <w:i w:val="0"/>
                <w:iCs w:val="0"/>
                <w:color w:val="000000"/>
                <w:sz w:val="18"/>
                <w:szCs w:val="18"/>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422B6BD0">
            <w:pPr>
              <w:rPr>
                <w:rFonts w:hint="eastAsia" w:ascii="宋体" w:hAnsi="宋体" w:eastAsia="宋体" w:cs="宋体"/>
                <w:i w:val="0"/>
                <w:iCs w:val="0"/>
                <w:color w:val="000000"/>
                <w:sz w:val="20"/>
                <w:szCs w:val="20"/>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3A39A57D">
            <w:pPr>
              <w:jc w:val="center"/>
              <w:rPr>
                <w:rFonts w:hint="eastAsia" w:ascii="宋体" w:hAnsi="宋体" w:eastAsia="宋体" w:cs="宋体"/>
                <w:i w:val="0"/>
                <w:iCs w:val="0"/>
                <w:color w:val="000000"/>
                <w:sz w:val="18"/>
                <w:szCs w:val="18"/>
                <w:highlight w:val="none"/>
                <w:u w:val="none"/>
              </w:rPr>
            </w:pP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15094AF9">
            <w:pPr>
              <w:jc w:val="center"/>
              <w:rPr>
                <w:rFonts w:hint="eastAsia" w:ascii="宋体" w:hAnsi="宋体" w:eastAsia="宋体" w:cs="宋体"/>
                <w:i w:val="0"/>
                <w:iCs w:val="0"/>
                <w:color w:val="000000"/>
                <w:sz w:val="18"/>
                <w:szCs w:val="18"/>
                <w:highlight w:val="none"/>
                <w:u w:val="none"/>
              </w:rPr>
            </w:pPr>
          </w:p>
        </w:tc>
      </w:tr>
      <w:tr w14:paraId="19BDC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29EB56D">
            <w:pPr>
              <w:jc w:val="center"/>
              <w:rPr>
                <w:rFonts w:hint="eastAsia" w:ascii="宋体" w:hAnsi="宋体" w:eastAsia="宋体" w:cs="宋体"/>
                <w:i w:val="0"/>
                <w:iCs w:val="0"/>
                <w:color w:val="000000"/>
                <w:sz w:val="20"/>
                <w:szCs w:val="20"/>
                <w:highlight w:val="none"/>
                <w:u w:val="none"/>
              </w:rPr>
            </w:pPr>
          </w:p>
        </w:tc>
        <w:tc>
          <w:tcPr>
            <w:tcW w:w="29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D57833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效益指标</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26EB450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经济效益指标</w:t>
            </w:r>
          </w:p>
        </w:tc>
        <w:tc>
          <w:tcPr>
            <w:tcW w:w="804" w:type="pct"/>
            <w:tcBorders>
              <w:top w:val="single" w:color="auto" w:sz="4" w:space="0"/>
              <w:left w:val="single" w:color="auto" w:sz="4" w:space="0"/>
              <w:bottom w:val="single" w:color="auto" w:sz="4" w:space="0"/>
              <w:right w:val="single" w:color="auto" w:sz="4" w:space="0"/>
            </w:tcBorders>
            <w:shd w:val="clear" w:color="auto" w:fill="auto"/>
            <w:vAlign w:val="center"/>
          </w:tcPr>
          <w:p w14:paraId="6888671C">
            <w:pPr>
              <w:rPr>
                <w:rFonts w:hint="eastAsia" w:ascii="宋体" w:hAnsi="宋体" w:eastAsia="宋体" w:cs="宋体"/>
                <w:i w:val="0"/>
                <w:iCs w:val="0"/>
                <w:color w:val="000000"/>
                <w:sz w:val="20"/>
                <w:szCs w:val="20"/>
                <w:highlight w:val="none"/>
                <w:u w:val="none"/>
              </w:rPr>
            </w:pP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0027EF84">
            <w:pPr>
              <w:rPr>
                <w:rFonts w:hint="eastAsia" w:ascii="宋体" w:hAnsi="宋体" w:eastAsia="宋体" w:cs="宋体"/>
                <w:i w:val="0"/>
                <w:iCs w:val="0"/>
                <w:color w:val="000000"/>
                <w:sz w:val="20"/>
                <w:szCs w:val="20"/>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231D915F">
            <w:pPr>
              <w:rPr>
                <w:rFonts w:hint="eastAsia" w:ascii="宋体" w:hAnsi="宋体" w:eastAsia="宋体" w:cs="宋体"/>
                <w:i w:val="0"/>
                <w:iCs w:val="0"/>
                <w:color w:val="000000"/>
                <w:sz w:val="20"/>
                <w:szCs w:val="20"/>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69E56E0C">
            <w:pPr>
              <w:rPr>
                <w:rFonts w:hint="eastAsia" w:ascii="宋体" w:hAnsi="宋体" w:eastAsia="宋体" w:cs="宋体"/>
                <w:i w:val="0"/>
                <w:iCs w:val="0"/>
                <w:color w:val="000000"/>
                <w:sz w:val="20"/>
                <w:szCs w:val="20"/>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29E751CE">
            <w:pPr>
              <w:jc w:val="center"/>
              <w:rPr>
                <w:rFonts w:hint="eastAsia" w:ascii="宋体" w:hAnsi="宋体" w:eastAsia="宋体" w:cs="宋体"/>
                <w:i w:val="0"/>
                <w:iCs w:val="0"/>
                <w:color w:val="000000"/>
                <w:sz w:val="18"/>
                <w:szCs w:val="18"/>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50475E70">
            <w:pPr>
              <w:rPr>
                <w:rFonts w:hint="eastAsia" w:ascii="宋体" w:hAnsi="宋体" w:eastAsia="宋体" w:cs="宋体"/>
                <w:i w:val="0"/>
                <w:iCs w:val="0"/>
                <w:color w:val="000000"/>
                <w:sz w:val="20"/>
                <w:szCs w:val="20"/>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6C518A6B">
            <w:pPr>
              <w:rPr>
                <w:rFonts w:hint="eastAsia" w:ascii="宋体" w:hAnsi="宋体" w:eastAsia="宋体" w:cs="宋体"/>
                <w:i w:val="0"/>
                <w:iCs w:val="0"/>
                <w:color w:val="000000"/>
                <w:sz w:val="20"/>
                <w:szCs w:val="20"/>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5C77F1D2">
            <w:pPr>
              <w:jc w:val="center"/>
              <w:rPr>
                <w:rFonts w:hint="eastAsia" w:ascii="宋体" w:hAnsi="宋体" w:eastAsia="宋体" w:cs="宋体"/>
                <w:i w:val="0"/>
                <w:iCs w:val="0"/>
                <w:color w:val="000000"/>
                <w:sz w:val="18"/>
                <w:szCs w:val="18"/>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00121368">
            <w:pPr>
              <w:rPr>
                <w:rFonts w:hint="eastAsia" w:ascii="宋体" w:hAnsi="宋体" w:eastAsia="宋体" w:cs="宋体"/>
                <w:i w:val="0"/>
                <w:iCs w:val="0"/>
                <w:color w:val="000000"/>
                <w:sz w:val="20"/>
                <w:szCs w:val="20"/>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4B004897">
            <w:pPr>
              <w:jc w:val="center"/>
              <w:rPr>
                <w:rFonts w:hint="eastAsia" w:ascii="宋体" w:hAnsi="宋体" w:eastAsia="宋体" w:cs="宋体"/>
                <w:i w:val="0"/>
                <w:iCs w:val="0"/>
                <w:color w:val="000000"/>
                <w:sz w:val="18"/>
                <w:szCs w:val="18"/>
                <w:highlight w:val="none"/>
                <w:u w:val="none"/>
              </w:rPr>
            </w:pP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2ECE8E1C">
            <w:pPr>
              <w:jc w:val="center"/>
              <w:rPr>
                <w:rFonts w:hint="eastAsia" w:ascii="宋体" w:hAnsi="宋体" w:eastAsia="宋体" w:cs="宋体"/>
                <w:i w:val="0"/>
                <w:iCs w:val="0"/>
                <w:color w:val="000000"/>
                <w:sz w:val="18"/>
                <w:szCs w:val="18"/>
                <w:highlight w:val="none"/>
                <w:u w:val="none"/>
              </w:rPr>
            </w:pPr>
          </w:p>
        </w:tc>
      </w:tr>
      <w:tr w14:paraId="5391B6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49E8F87">
            <w:pPr>
              <w:jc w:val="center"/>
              <w:rPr>
                <w:rFonts w:hint="eastAsia" w:ascii="宋体" w:hAnsi="宋体" w:eastAsia="宋体" w:cs="宋体"/>
                <w:i w:val="0"/>
                <w:iCs w:val="0"/>
                <w:color w:val="000000"/>
                <w:sz w:val="20"/>
                <w:szCs w:val="20"/>
                <w:highlight w:val="none"/>
                <w:u w:val="none"/>
              </w:rPr>
            </w:pPr>
          </w:p>
        </w:tc>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2B6DB59">
            <w:pPr>
              <w:jc w:val="center"/>
              <w:rPr>
                <w:rFonts w:hint="eastAsia" w:ascii="宋体" w:hAnsi="宋体" w:eastAsia="宋体" w:cs="宋体"/>
                <w:i w:val="0"/>
                <w:iCs w:val="0"/>
                <w:color w:val="000000"/>
                <w:sz w:val="20"/>
                <w:szCs w:val="20"/>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0E2150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社会效益指标</w:t>
            </w:r>
          </w:p>
        </w:tc>
        <w:tc>
          <w:tcPr>
            <w:tcW w:w="804" w:type="pct"/>
            <w:tcBorders>
              <w:top w:val="single" w:color="auto" w:sz="4" w:space="0"/>
              <w:left w:val="single" w:color="auto" w:sz="4" w:space="0"/>
              <w:bottom w:val="single" w:color="auto" w:sz="4" w:space="0"/>
              <w:right w:val="single" w:color="auto" w:sz="4" w:space="0"/>
            </w:tcBorders>
            <w:shd w:val="clear" w:color="auto" w:fill="auto"/>
            <w:vAlign w:val="center"/>
          </w:tcPr>
          <w:p w14:paraId="7CA6182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提高妇女参与社会建设的积极性</w:t>
            </w: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54615C1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有所提高</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04DC979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计划标准</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7106B3E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790881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20</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56CB4A1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按评判等级赋分</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0214BB1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工作资料</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70CE88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有所提高</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4539B22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100%</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2B6A18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20</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56297A83">
            <w:pPr>
              <w:jc w:val="center"/>
              <w:rPr>
                <w:rFonts w:hint="eastAsia" w:ascii="宋体" w:hAnsi="宋体" w:eastAsia="宋体" w:cs="宋体"/>
                <w:i w:val="0"/>
                <w:iCs w:val="0"/>
                <w:color w:val="000000"/>
                <w:sz w:val="18"/>
                <w:szCs w:val="18"/>
                <w:highlight w:val="none"/>
                <w:u w:val="none"/>
              </w:rPr>
            </w:pPr>
          </w:p>
        </w:tc>
      </w:tr>
      <w:tr w14:paraId="12FE7F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8D7178D">
            <w:pPr>
              <w:jc w:val="center"/>
              <w:rPr>
                <w:rFonts w:hint="eastAsia" w:ascii="宋体" w:hAnsi="宋体" w:eastAsia="宋体" w:cs="宋体"/>
                <w:i w:val="0"/>
                <w:iCs w:val="0"/>
                <w:color w:val="000000"/>
                <w:sz w:val="20"/>
                <w:szCs w:val="20"/>
                <w:highlight w:val="none"/>
                <w:u w:val="none"/>
              </w:rPr>
            </w:pPr>
          </w:p>
        </w:tc>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7AA0D34">
            <w:pPr>
              <w:jc w:val="center"/>
              <w:rPr>
                <w:rFonts w:hint="eastAsia" w:ascii="宋体" w:hAnsi="宋体" w:eastAsia="宋体" w:cs="宋体"/>
                <w:i w:val="0"/>
                <w:iCs w:val="0"/>
                <w:color w:val="000000"/>
                <w:sz w:val="20"/>
                <w:szCs w:val="20"/>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383B047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生态效益指标</w:t>
            </w:r>
          </w:p>
        </w:tc>
        <w:tc>
          <w:tcPr>
            <w:tcW w:w="804" w:type="pct"/>
            <w:tcBorders>
              <w:top w:val="single" w:color="auto" w:sz="4" w:space="0"/>
              <w:left w:val="single" w:color="auto" w:sz="4" w:space="0"/>
              <w:bottom w:val="single" w:color="auto" w:sz="4" w:space="0"/>
              <w:right w:val="single" w:color="auto" w:sz="4" w:space="0"/>
            </w:tcBorders>
            <w:shd w:val="clear" w:color="auto" w:fill="auto"/>
            <w:vAlign w:val="center"/>
          </w:tcPr>
          <w:p w14:paraId="6407D86A">
            <w:pPr>
              <w:rPr>
                <w:rFonts w:hint="eastAsia" w:ascii="宋体" w:hAnsi="宋体" w:eastAsia="宋体" w:cs="宋体"/>
                <w:i w:val="0"/>
                <w:iCs w:val="0"/>
                <w:color w:val="000000"/>
                <w:sz w:val="20"/>
                <w:szCs w:val="20"/>
                <w:highlight w:val="none"/>
                <w:u w:val="none"/>
              </w:rPr>
            </w:pP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30D5B8EA">
            <w:pPr>
              <w:rPr>
                <w:rFonts w:hint="eastAsia" w:ascii="宋体" w:hAnsi="宋体" w:eastAsia="宋体" w:cs="宋体"/>
                <w:i w:val="0"/>
                <w:iCs w:val="0"/>
                <w:color w:val="000000"/>
                <w:sz w:val="20"/>
                <w:szCs w:val="20"/>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0AECE153">
            <w:pPr>
              <w:rPr>
                <w:rFonts w:hint="eastAsia" w:ascii="宋体" w:hAnsi="宋体" w:eastAsia="宋体" w:cs="宋体"/>
                <w:i w:val="0"/>
                <w:iCs w:val="0"/>
                <w:color w:val="000000"/>
                <w:sz w:val="20"/>
                <w:szCs w:val="20"/>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4622640B">
            <w:pPr>
              <w:rPr>
                <w:rFonts w:hint="eastAsia" w:ascii="宋体" w:hAnsi="宋体" w:eastAsia="宋体" w:cs="宋体"/>
                <w:i w:val="0"/>
                <w:iCs w:val="0"/>
                <w:color w:val="000000"/>
                <w:sz w:val="20"/>
                <w:szCs w:val="20"/>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00F4212B">
            <w:pPr>
              <w:jc w:val="center"/>
              <w:rPr>
                <w:rFonts w:hint="eastAsia" w:ascii="宋体" w:hAnsi="宋体" w:eastAsia="宋体" w:cs="宋体"/>
                <w:i w:val="0"/>
                <w:iCs w:val="0"/>
                <w:color w:val="000000"/>
                <w:sz w:val="18"/>
                <w:szCs w:val="18"/>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3F723707">
            <w:pPr>
              <w:rPr>
                <w:rFonts w:hint="eastAsia" w:ascii="宋体" w:hAnsi="宋体" w:eastAsia="宋体" w:cs="宋体"/>
                <w:i w:val="0"/>
                <w:iCs w:val="0"/>
                <w:color w:val="000000"/>
                <w:sz w:val="20"/>
                <w:szCs w:val="20"/>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26CC0739">
            <w:pPr>
              <w:rPr>
                <w:rFonts w:hint="eastAsia" w:ascii="宋体" w:hAnsi="宋体" w:eastAsia="宋体" w:cs="宋体"/>
                <w:i w:val="0"/>
                <w:iCs w:val="0"/>
                <w:color w:val="000000"/>
                <w:sz w:val="20"/>
                <w:szCs w:val="20"/>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2AE2742B">
            <w:pPr>
              <w:jc w:val="center"/>
              <w:rPr>
                <w:rFonts w:hint="eastAsia" w:ascii="宋体" w:hAnsi="宋体" w:eastAsia="宋体" w:cs="宋体"/>
                <w:i w:val="0"/>
                <w:iCs w:val="0"/>
                <w:color w:val="000000"/>
                <w:sz w:val="18"/>
                <w:szCs w:val="18"/>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4886E8B0">
            <w:pPr>
              <w:rPr>
                <w:rFonts w:hint="eastAsia" w:ascii="宋体" w:hAnsi="宋体" w:eastAsia="宋体" w:cs="宋体"/>
                <w:i w:val="0"/>
                <w:iCs w:val="0"/>
                <w:color w:val="000000"/>
                <w:sz w:val="20"/>
                <w:szCs w:val="20"/>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10523991">
            <w:pPr>
              <w:jc w:val="center"/>
              <w:rPr>
                <w:rFonts w:hint="eastAsia" w:ascii="宋体" w:hAnsi="宋体" w:eastAsia="宋体" w:cs="宋体"/>
                <w:i w:val="0"/>
                <w:iCs w:val="0"/>
                <w:color w:val="000000"/>
                <w:sz w:val="18"/>
                <w:szCs w:val="18"/>
                <w:highlight w:val="none"/>
                <w:u w:val="none"/>
              </w:rPr>
            </w:pP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7BDAA269">
            <w:pPr>
              <w:jc w:val="center"/>
              <w:rPr>
                <w:rFonts w:hint="eastAsia" w:ascii="宋体" w:hAnsi="宋体" w:eastAsia="宋体" w:cs="宋体"/>
                <w:i w:val="0"/>
                <w:iCs w:val="0"/>
                <w:color w:val="000000"/>
                <w:sz w:val="18"/>
                <w:szCs w:val="18"/>
                <w:highlight w:val="none"/>
                <w:u w:val="none"/>
              </w:rPr>
            </w:pPr>
          </w:p>
        </w:tc>
      </w:tr>
      <w:tr w14:paraId="2C4D72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5339005">
            <w:pPr>
              <w:jc w:val="center"/>
              <w:rPr>
                <w:rFonts w:hint="eastAsia" w:ascii="宋体" w:hAnsi="宋体" w:eastAsia="宋体" w:cs="宋体"/>
                <w:i w:val="0"/>
                <w:iCs w:val="0"/>
                <w:color w:val="000000"/>
                <w:sz w:val="20"/>
                <w:szCs w:val="20"/>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18C0668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满意度指标</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3647839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满意度指标</w:t>
            </w:r>
          </w:p>
        </w:tc>
        <w:tc>
          <w:tcPr>
            <w:tcW w:w="804" w:type="pct"/>
            <w:tcBorders>
              <w:top w:val="single" w:color="auto" w:sz="4" w:space="0"/>
              <w:left w:val="single" w:color="auto" w:sz="4" w:space="0"/>
              <w:bottom w:val="single" w:color="auto" w:sz="4" w:space="0"/>
              <w:right w:val="single" w:color="auto" w:sz="4" w:space="0"/>
            </w:tcBorders>
            <w:shd w:val="clear" w:color="auto" w:fill="auto"/>
            <w:vAlign w:val="center"/>
          </w:tcPr>
          <w:p w14:paraId="7BB435B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参与人员的满意度</w:t>
            </w: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2B43CCD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&gt;=95%</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1F29137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计划标准</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570BCF2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749315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3660792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满意度赋分</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1589850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工作资料</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5AD997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59CDDDF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105.26%</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238DD3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1DAEDC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偏差原因：参与人员的满意度为100%。改进措施：从严从高设置绩效指标。</w:t>
            </w:r>
          </w:p>
        </w:tc>
      </w:tr>
      <w:tr w14:paraId="305E5C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690"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7A144B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总分</w:t>
            </w: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2AEA7971">
            <w:pPr>
              <w:jc w:val="center"/>
              <w:rPr>
                <w:rFonts w:hint="eastAsia" w:ascii="宋体" w:hAnsi="宋体" w:eastAsia="宋体" w:cs="宋体"/>
                <w:i w:val="0"/>
                <w:iCs w:val="0"/>
                <w:color w:val="000000"/>
                <w:sz w:val="18"/>
                <w:szCs w:val="18"/>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271B3E17">
            <w:pPr>
              <w:rPr>
                <w:rFonts w:hint="eastAsia" w:ascii="宋体" w:hAnsi="宋体" w:eastAsia="宋体" w:cs="宋体"/>
                <w:b/>
                <w:bCs/>
                <w:i w:val="0"/>
                <w:iCs w:val="0"/>
                <w:color w:val="000000"/>
                <w:sz w:val="18"/>
                <w:szCs w:val="18"/>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1C903F36">
            <w:pPr>
              <w:jc w:val="center"/>
              <w:rPr>
                <w:rFonts w:hint="eastAsia" w:ascii="宋体" w:hAnsi="宋体" w:eastAsia="宋体" w:cs="宋体"/>
                <w:i w:val="0"/>
                <w:iCs w:val="0"/>
                <w:color w:val="000000"/>
                <w:sz w:val="18"/>
                <w:szCs w:val="18"/>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3E15C741">
            <w:pPr>
              <w:jc w:val="center"/>
              <w:rPr>
                <w:rFonts w:hint="eastAsia" w:ascii="宋体" w:hAnsi="宋体" w:eastAsia="宋体" w:cs="宋体"/>
                <w:i w:val="0"/>
                <w:iCs w:val="0"/>
                <w:color w:val="000000"/>
                <w:sz w:val="18"/>
                <w:szCs w:val="18"/>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36B860DF">
            <w:pPr>
              <w:jc w:val="center"/>
              <w:rPr>
                <w:rFonts w:hint="eastAsia" w:ascii="宋体" w:hAnsi="宋体" w:eastAsia="宋体" w:cs="宋体"/>
                <w:i w:val="0"/>
                <w:iCs w:val="0"/>
                <w:color w:val="000000"/>
                <w:sz w:val="18"/>
                <w:szCs w:val="18"/>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66F7BE5D">
            <w:pPr>
              <w:rPr>
                <w:rFonts w:hint="eastAsia" w:ascii="宋体" w:hAnsi="宋体" w:eastAsia="宋体" w:cs="宋体"/>
                <w:i w:val="0"/>
                <w:iCs w:val="0"/>
                <w:color w:val="000000"/>
                <w:sz w:val="18"/>
                <w:szCs w:val="18"/>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46C611BA">
            <w:pPr>
              <w:rPr>
                <w:rFonts w:hint="eastAsia" w:ascii="宋体" w:hAnsi="宋体" w:eastAsia="宋体" w:cs="宋体"/>
                <w:i w:val="0"/>
                <w:iCs w:val="0"/>
                <w:color w:val="000000"/>
                <w:sz w:val="18"/>
                <w:szCs w:val="18"/>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597C4DF2">
            <w:pPr>
              <w:rPr>
                <w:rFonts w:hint="eastAsia" w:ascii="宋体" w:hAnsi="宋体" w:eastAsia="宋体" w:cs="宋体"/>
                <w:i w:val="0"/>
                <w:iCs w:val="0"/>
                <w:color w:val="000000"/>
                <w:sz w:val="18"/>
                <w:szCs w:val="18"/>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01AD0D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96.17分</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14:paraId="5589C5DE">
            <w:pPr>
              <w:rPr>
                <w:rFonts w:hint="eastAsia" w:ascii="宋体" w:hAnsi="宋体" w:eastAsia="宋体" w:cs="宋体"/>
                <w:i w:val="0"/>
                <w:iCs w:val="0"/>
                <w:color w:val="000000"/>
                <w:sz w:val="18"/>
                <w:szCs w:val="18"/>
                <w:highlight w:val="none"/>
                <w:u w:val="none"/>
              </w:rPr>
            </w:pPr>
          </w:p>
        </w:tc>
      </w:tr>
    </w:tbl>
    <w:p w14:paraId="10B47391">
      <w:pPr>
        <w:rPr>
          <w:rFonts w:hint="default" w:ascii="Times New Roman" w:hAnsi="Times New Roman" w:cs="Times New Roman"/>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楷体_GB2312">
    <w:panose1 w:val="02010609030101010101"/>
    <w:charset w:val="86"/>
    <w:family w:val="auto"/>
    <w:pitch w:val="default"/>
    <w:sig w:usb0="00000001" w:usb1="080E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16627713">
        <w:pPr>
          <w:pStyle w:val="6"/>
          <w:jc w:val="center"/>
        </w:pPr>
        <w:r>
          <w:fldChar w:fldCharType="begin"/>
        </w:r>
        <w:r>
          <w:instrText xml:space="preserve">PAGE   \* MERGEFORMAT</w:instrText>
        </w:r>
        <w:r>
          <w:fldChar w:fldCharType="separate"/>
        </w:r>
        <w:r>
          <w:rPr>
            <w:lang w:val="zh-CN"/>
          </w:rPr>
          <w:t>13</w:t>
        </w:r>
        <w:r>
          <w:fldChar w:fldCharType="end"/>
        </w:r>
      </w:p>
    </w:sdtContent>
  </w:sdt>
  <w:p w14:paraId="70B65701">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1"/>
      <w:numFmt w:val="decimal"/>
      <w:lvlText w:val="%1."/>
      <w:lvlJc w:val="left"/>
      <w:pPr>
        <w:tabs>
          <w:tab w:val="left" w:pos="312"/>
        </w:tabs>
      </w:pPr>
    </w:lvl>
  </w:abstractNum>
  <w:abstractNum w:abstractNumId="1">
    <w:nsid w:val="BF205925"/>
    <w:multiLevelType w:val="singleLevel"/>
    <w:tmpl w:val="BF205925"/>
    <w:lvl w:ilvl="0" w:tentative="0">
      <w:start w:val="2"/>
      <w:numFmt w:val="chineseCounting"/>
      <w:suff w:val="nothing"/>
      <w:lvlText w:val="（%1）"/>
      <w:lvlJc w:val="left"/>
      <w:rPr>
        <w:rFonts w:hint="eastAsia"/>
      </w:rPr>
    </w:lvl>
  </w:abstractNum>
  <w:abstractNum w:abstractNumId="2">
    <w:nsid w:val="CF092B84"/>
    <w:multiLevelType w:val="singleLevel"/>
    <w:tmpl w:val="CF092B84"/>
    <w:lvl w:ilvl="0" w:tentative="0">
      <w:start w:val="3"/>
      <w:numFmt w:val="chineseCounting"/>
      <w:suff w:val="nothing"/>
      <w:lvlText w:val="（%1）"/>
      <w:lvlJc w:val="left"/>
      <w:rPr>
        <w:rFonts w:hint="eastAsia"/>
      </w:rPr>
    </w:lvl>
  </w:abstractNum>
  <w:abstractNum w:abstractNumId="3">
    <w:nsid w:val="0053208E"/>
    <w:multiLevelType w:val="singleLevel"/>
    <w:tmpl w:val="0053208E"/>
    <w:lvl w:ilvl="0" w:tentative="0">
      <w:start w:val="1"/>
      <w:numFmt w:val="decimal"/>
      <w:suff w:val="nothing"/>
      <w:lvlText w:val="（%1）"/>
      <w:lvlJc w:val="left"/>
    </w:lvl>
  </w:abstractNum>
  <w:abstractNum w:abstractNumId="4">
    <w:nsid w:val="03D62ECE"/>
    <w:multiLevelType w:val="singleLevel"/>
    <w:tmpl w:val="03D62ECE"/>
    <w:lvl w:ilvl="0" w:tentative="0">
      <w:start w:val="2"/>
      <w:numFmt w:val="chineseCounting"/>
      <w:suff w:val="nothing"/>
      <w:lvlText w:val="（%1）"/>
      <w:lvlJc w:val="left"/>
      <w:rPr>
        <w:rFonts w:hint="eastAsia"/>
      </w:rPr>
    </w:lvl>
  </w:abstractNum>
  <w:abstractNum w:abstractNumId="5">
    <w:nsid w:val="59ADCABA"/>
    <w:multiLevelType w:val="singleLevel"/>
    <w:tmpl w:val="59ADCABA"/>
    <w:lvl w:ilvl="0" w:tentative="0">
      <w:start w:val="3"/>
      <w:numFmt w:val="chineseCounting"/>
      <w:suff w:val="nothing"/>
      <w:lvlText w:val="%1、"/>
      <w:lvlJc w:val="left"/>
      <w:rPr>
        <w:rFonts w:hint="eastAsia"/>
      </w:rPr>
    </w:lvl>
  </w:abstractNum>
  <w:num w:numId="1">
    <w:abstractNumId w:val="3"/>
  </w:num>
  <w:num w:numId="2">
    <w:abstractNumId w:val="2"/>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doNotDisplayPageBoundaries w:val="1"/>
  <w:embedSystemFonts/>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00000000"/>
    <w:rsid w:val="64DC34E1"/>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pPr>
      <w:spacing w:after="120"/>
    </w:pPr>
  </w:style>
  <w:style w:type="paragraph" w:styleId="4">
    <w:name w:val="Body Text Indent"/>
    <w:basedOn w:val="1"/>
    <w:qFormat/>
    <w:uiPriority w:val="0"/>
    <w:pPr>
      <w:spacing w:after="120"/>
      <w:ind w:left="420" w:leftChars="200"/>
    </w:pPr>
    <w:rPr>
      <w:rFonts w:ascii="Calibri" w:hAnsi="Calibri"/>
    </w:rPr>
  </w:style>
  <w:style w:type="paragraph" w:styleId="5">
    <w:name w:val="Balloon Text"/>
    <w:basedOn w:val="1"/>
    <w:link w:val="21"/>
    <w:qFormat/>
    <w:uiPriority w:val="0"/>
    <w:rPr>
      <w:sz w:val="18"/>
      <w:szCs w:val="18"/>
    </w:rPr>
  </w:style>
  <w:style w:type="paragraph" w:styleId="6">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7">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rPr>
  </w:style>
  <w:style w:type="paragraph" w:styleId="9">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0">
    <w:name w:val="Body Text First Indent"/>
    <w:basedOn w:val="3"/>
    <w:qFormat/>
    <w:uiPriority w:val="0"/>
    <w:pPr>
      <w:spacing w:after="0"/>
      <w:ind w:firstLine="200" w:firstLineChars="200"/>
    </w:pPr>
  </w:style>
  <w:style w:type="paragraph" w:styleId="11">
    <w:name w:val="Body Text First Indent 2"/>
    <w:basedOn w:val="4"/>
    <w:qFormat/>
    <w:uiPriority w:val="0"/>
    <w:pPr>
      <w:ind w:firstLine="420" w:firstLineChars="200"/>
    </w:pPr>
  </w:style>
  <w:style w:type="table" w:styleId="13">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5">
    <w:name w:val="Strong"/>
    <w:basedOn w:val="14"/>
    <w:qFormat/>
    <w:uiPriority w:val="0"/>
    <w:rPr>
      <w:b/>
      <w:bCs/>
    </w:rPr>
  </w:style>
  <w:style w:type="paragraph" w:customStyle="1" w:styleId="16">
    <w:name w:val="Comment Text"/>
    <w:basedOn w:val="1"/>
    <w:link w:val="23"/>
    <w:qFormat/>
    <w:uiPriority w:val="0"/>
    <w:pPr>
      <w:jc w:val="left"/>
    </w:pPr>
  </w:style>
  <w:style w:type="paragraph" w:customStyle="1" w:styleId="17">
    <w:name w:val="Comment Subject"/>
    <w:basedOn w:val="16"/>
    <w:next w:val="16"/>
    <w:link w:val="24"/>
    <w:qFormat/>
    <w:uiPriority w:val="0"/>
    <w:rPr>
      <w:b/>
      <w:bCs/>
    </w:rPr>
  </w:style>
  <w:style w:type="character" w:customStyle="1" w:styleId="18">
    <w:name w:val="Comment Reference"/>
    <w:basedOn w:val="14"/>
    <w:qFormat/>
    <w:uiPriority w:val="0"/>
    <w:rPr>
      <w:sz w:val="21"/>
      <w:szCs w:val="21"/>
    </w:rPr>
  </w:style>
  <w:style w:type="character" w:customStyle="1" w:styleId="19">
    <w:name w:val="fontstyle01"/>
    <w:qFormat/>
    <w:uiPriority w:val="0"/>
    <w:rPr>
      <w:rFonts w:ascii="仿宋_GB2312" w:hAnsi="仿宋_GB2312" w:eastAsia="仿宋_GB2312" w:cs="仿宋_GB2312"/>
      <w:color w:val="000000"/>
      <w:sz w:val="32"/>
      <w:szCs w:val="32"/>
    </w:rPr>
  </w:style>
  <w:style w:type="paragraph" w:customStyle="1" w:styleId="20">
    <w:name w:val="闻政-正文段落文字"/>
    <w:basedOn w:val="1"/>
    <w:qFormat/>
    <w:uiPriority w:val="3"/>
    <w:pPr>
      <w:spacing w:line="500" w:lineRule="exact"/>
      <w:ind w:firstLine="200"/>
    </w:pPr>
    <w:rPr>
      <w:kern w:val="0"/>
      <w:szCs w:val="28"/>
    </w:rPr>
  </w:style>
  <w:style w:type="character" w:customStyle="1" w:styleId="21">
    <w:name w:val="批注框文本 字符"/>
    <w:basedOn w:val="14"/>
    <w:link w:val="5"/>
    <w:qFormat/>
    <w:uiPriority w:val="0"/>
    <w:rPr>
      <w:rFonts w:ascii="Times New Roman" w:hAnsi="Times New Roman" w:eastAsia="宋体" w:cs="Times New Roman"/>
      <w:kern w:val="2"/>
      <w:sz w:val="18"/>
      <w:szCs w:val="18"/>
    </w:rPr>
  </w:style>
  <w:style w:type="character" w:customStyle="1" w:styleId="22">
    <w:name w:val="页眉 字符"/>
    <w:basedOn w:val="14"/>
    <w:link w:val="7"/>
    <w:qFormat/>
    <w:uiPriority w:val="0"/>
    <w:rPr>
      <w:rFonts w:ascii="Times New Roman" w:hAnsi="Times New Roman" w:eastAsia="宋体" w:cs="Times New Roman"/>
      <w:kern w:val="2"/>
      <w:sz w:val="18"/>
      <w:szCs w:val="18"/>
    </w:rPr>
  </w:style>
  <w:style w:type="character" w:customStyle="1" w:styleId="23">
    <w:name w:val="批注文字 字符"/>
    <w:basedOn w:val="14"/>
    <w:link w:val="16"/>
    <w:qFormat/>
    <w:uiPriority w:val="0"/>
    <w:rPr>
      <w:rFonts w:ascii="Times New Roman" w:hAnsi="Times New Roman" w:eastAsia="宋体" w:cs="Times New Roman"/>
      <w:kern w:val="2"/>
      <w:sz w:val="21"/>
      <w:szCs w:val="24"/>
    </w:rPr>
  </w:style>
  <w:style w:type="character" w:customStyle="1" w:styleId="24">
    <w:name w:val="批注主题 字符"/>
    <w:basedOn w:val="23"/>
    <w:link w:val="17"/>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8A8EEFE90BC947B383B9851C63E65EFA</vt:lpwstr>
  </property>
  <property fmtid="{D5CDD505-2E9C-101B-9397-08002B2CF9AE}" pid="4" name="KSOTemplateDocerSaveRecord">
    <vt:lpwstr>eyJoZGlkIjoiYTRkOTIwZjc5YmU2ZTY5MjQ2MTljMmZlZWEzNGY0OTAiLCJ1c2VySWQiOiI0MzUzMjU0MzcifQ==</vt:lpwstr>
  </property>
</Properties>
</file>

<file path=customXml/itemProps1.xml><?xml version="1.0" encoding="utf-8"?>
<ds:datastoreItem xmlns:ds="http://schemas.openxmlformats.org/officeDocument/2006/customXml" ds:itemID="{ad8b3c18-8254-4ebc-a7cd-03fa8f570e44}">
  <ds:schemaRefs/>
</ds:datastoreItem>
</file>

<file path=docProps/app.xml><?xml version="1.0" encoding="utf-8"?>
<Properties xmlns="http://schemas.openxmlformats.org/officeDocument/2006/extended-properties" xmlns:vt="http://schemas.openxmlformats.org/officeDocument/2006/docPropsVTypes">
  <Template>Normal</Template>
  <Pages>32</Pages>
  <Words>10005</Words>
  <Characters>10443</Characters>
  <Lines>58</Lines>
  <Paragraphs>16</Paragraphs>
  <TotalTime>49</TotalTime>
  <ScaleCrop>false</ScaleCrop>
  <LinksUpToDate>false</LinksUpToDate>
  <CharactersWithSpaces>10452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雨。</cp:lastModifiedBy>
  <dcterms:modified xsi:type="dcterms:W3CDTF">2025-09-25T04:09:00Z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8A8EEFE90BC947B383B9851C63E65EFA</vt:lpwstr>
  </property>
  <property fmtid="{D5CDD505-2E9C-101B-9397-08002B2CF9AE}" pid="4" name="KSOTemplateDocerSaveRecord">
    <vt:lpwstr>eyJoZGlkIjoiN2E1ZDY0MDI5MTE3YjM0ZGMyMzg4N2EwMDI4ZjJiM2YiLCJ1c2VySWQiOiIyNTk4NTcxMjUifQ==</vt:lpwstr>
  </property>
</Properties>
</file>