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223ED"/>
    <w:p w14:paraId="19AF6D2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2DF282A">
      <w:pPr>
        <w:spacing w:line="540" w:lineRule="exact"/>
        <w:jc w:val="center"/>
        <w:rPr>
          <w:rFonts w:ascii="华文中宋" w:hAnsi="华文中宋" w:eastAsia="华文中宋" w:cs="宋体"/>
          <w:b/>
          <w:kern w:val="0"/>
          <w:sz w:val="52"/>
          <w:szCs w:val="52"/>
        </w:rPr>
      </w:pPr>
    </w:p>
    <w:p w14:paraId="4345D671">
      <w:pPr>
        <w:spacing w:line="540" w:lineRule="exact"/>
        <w:jc w:val="center"/>
        <w:rPr>
          <w:rFonts w:ascii="华文中宋" w:hAnsi="华文中宋" w:eastAsia="华文中宋" w:cs="宋体"/>
          <w:b/>
          <w:kern w:val="0"/>
          <w:sz w:val="52"/>
          <w:szCs w:val="52"/>
        </w:rPr>
      </w:pPr>
    </w:p>
    <w:p w14:paraId="7AF5B0C4">
      <w:pPr>
        <w:spacing w:line="540" w:lineRule="exact"/>
        <w:jc w:val="center"/>
        <w:rPr>
          <w:rFonts w:ascii="华文中宋" w:hAnsi="华文中宋" w:eastAsia="华文中宋" w:cs="宋体"/>
          <w:b/>
          <w:kern w:val="0"/>
          <w:sz w:val="52"/>
          <w:szCs w:val="52"/>
        </w:rPr>
      </w:pPr>
    </w:p>
    <w:p w14:paraId="7B660D2F">
      <w:pPr>
        <w:spacing w:line="540" w:lineRule="exact"/>
        <w:jc w:val="center"/>
        <w:rPr>
          <w:rFonts w:ascii="华文中宋" w:hAnsi="华文中宋" w:eastAsia="华文中宋" w:cs="宋体"/>
          <w:b/>
          <w:kern w:val="0"/>
          <w:sz w:val="52"/>
          <w:szCs w:val="52"/>
        </w:rPr>
      </w:pPr>
    </w:p>
    <w:p w14:paraId="13D63206">
      <w:pPr>
        <w:spacing w:line="540" w:lineRule="exact"/>
        <w:jc w:val="center"/>
        <w:rPr>
          <w:rFonts w:ascii="华文中宋" w:hAnsi="华文中宋" w:eastAsia="华文中宋" w:cs="宋体"/>
          <w:b/>
          <w:kern w:val="0"/>
          <w:sz w:val="52"/>
          <w:szCs w:val="52"/>
        </w:rPr>
      </w:pPr>
    </w:p>
    <w:p w14:paraId="0D24E3CF">
      <w:pPr>
        <w:spacing w:line="540" w:lineRule="exact"/>
        <w:jc w:val="center"/>
        <w:rPr>
          <w:rFonts w:ascii="华文中宋" w:hAnsi="华文中宋" w:eastAsia="华文中宋" w:cs="宋体"/>
          <w:b/>
          <w:kern w:val="0"/>
          <w:sz w:val="52"/>
          <w:szCs w:val="52"/>
        </w:rPr>
      </w:pPr>
    </w:p>
    <w:p w14:paraId="0B00259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6484D802">
      <w:pPr>
        <w:spacing w:line="540" w:lineRule="exact"/>
        <w:jc w:val="center"/>
        <w:rPr>
          <w:rFonts w:ascii="华文中宋" w:hAnsi="华文中宋" w:eastAsia="华文中宋" w:cs="宋体"/>
          <w:b/>
          <w:kern w:val="0"/>
          <w:sz w:val="52"/>
          <w:szCs w:val="52"/>
        </w:rPr>
      </w:pPr>
    </w:p>
    <w:p w14:paraId="51D837E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F2856ED">
      <w:pPr>
        <w:spacing w:line="540" w:lineRule="exact"/>
        <w:jc w:val="center"/>
        <w:rPr>
          <w:rFonts w:hAnsi="宋体" w:eastAsia="仿宋_GB2312" w:cs="宋体"/>
          <w:kern w:val="0"/>
          <w:sz w:val="30"/>
          <w:szCs w:val="30"/>
        </w:rPr>
      </w:pPr>
    </w:p>
    <w:p w14:paraId="4B7AE892">
      <w:pPr>
        <w:spacing w:line="540" w:lineRule="exact"/>
        <w:jc w:val="center"/>
        <w:rPr>
          <w:rFonts w:hAnsi="宋体" w:eastAsia="仿宋_GB2312" w:cs="宋体"/>
          <w:kern w:val="0"/>
          <w:sz w:val="30"/>
          <w:szCs w:val="30"/>
        </w:rPr>
      </w:pPr>
    </w:p>
    <w:p w14:paraId="1BB91D26">
      <w:pPr>
        <w:spacing w:line="540" w:lineRule="exact"/>
        <w:jc w:val="center"/>
        <w:rPr>
          <w:rFonts w:ascii="方正小标宋_GBK" w:hAnsi="宋体" w:eastAsia="方正小标宋_GBK" w:cs="宋体"/>
          <w:kern w:val="0"/>
          <w:sz w:val="36"/>
          <w:szCs w:val="36"/>
        </w:rPr>
      </w:pPr>
    </w:p>
    <w:p w14:paraId="5DC2AC98">
      <w:pPr>
        <w:spacing w:line="540" w:lineRule="exact"/>
        <w:jc w:val="center"/>
        <w:rPr>
          <w:rFonts w:hAnsi="宋体" w:eastAsia="仿宋_GB2312" w:cs="宋体"/>
          <w:kern w:val="0"/>
          <w:sz w:val="30"/>
          <w:szCs w:val="30"/>
        </w:rPr>
      </w:pPr>
    </w:p>
    <w:p w14:paraId="28584C2B">
      <w:pPr>
        <w:spacing w:line="540" w:lineRule="exact"/>
        <w:jc w:val="center"/>
        <w:rPr>
          <w:rFonts w:hAnsi="宋体" w:eastAsia="仿宋_GB2312" w:cs="宋体"/>
          <w:kern w:val="0"/>
          <w:sz w:val="30"/>
          <w:szCs w:val="30"/>
        </w:rPr>
      </w:pPr>
    </w:p>
    <w:p w14:paraId="581F7382">
      <w:pPr>
        <w:spacing w:line="540" w:lineRule="exact"/>
        <w:jc w:val="center"/>
        <w:rPr>
          <w:rFonts w:hAnsi="宋体" w:eastAsia="仿宋_GB2312" w:cs="宋体"/>
          <w:kern w:val="0"/>
          <w:sz w:val="30"/>
          <w:szCs w:val="30"/>
        </w:rPr>
      </w:pPr>
    </w:p>
    <w:p w14:paraId="523F449F">
      <w:pPr>
        <w:spacing w:line="540" w:lineRule="exact"/>
        <w:rPr>
          <w:rFonts w:hAnsi="宋体" w:eastAsia="仿宋_GB2312" w:cs="宋体"/>
          <w:kern w:val="0"/>
          <w:sz w:val="30"/>
          <w:szCs w:val="30"/>
        </w:rPr>
      </w:pPr>
    </w:p>
    <w:p w14:paraId="24542F1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3F0931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乌兰乡扬排站2024年度运行经费</w:t>
      </w:r>
    </w:p>
    <w:p w14:paraId="3A842A4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博湖县乌兰再格森乡人民政府</w:t>
      </w:r>
    </w:p>
    <w:p w14:paraId="1D18EB7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博湖县乌兰再格森乡人民政府</w:t>
      </w:r>
    </w:p>
    <w:p w14:paraId="389C9F4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依力哈木·图尔逊</w:t>
      </w:r>
    </w:p>
    <w:p w14:paraId="61F008A7">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2025年04月25日</w:t>
      </w:r>
    </w:p>
    <w:p w14:paraId="63F3185F">
      <w:pPr>
        <w:spacing w:line="700" w:lineRule="exact"/>
        <w:ind w:firstLine="708" w:firstLineChars="236"/>
        <w:jc w:val="left"/>
        <w:rPr>
          <w:rFonts w:hAnsi="宋体" w:eastAsia="仿宋_GB2312" w:cs="宋体"/>
          <w:kern w:val="0"/>
          <w:sz w:val="30"/>
          <w:szCs w:val="30"/>
        </w:rPr>
      </w:pPr>
    </w:p>
    <w:p w14:paraId="4840DC00">
      <w:pPr>
        <w:spacing w:line="540" w:lineRule="exact"/>
        <w:rPr>
          <w:rStyle w:val="19"/>
          <w:rFonts w:ascii="黑体" w:hAnsi="黑体" w:eastAsia="黑体"/>
          <w:b w:val="0"/>
          <w:spacing w:val="-4"/>
          <w:sz w:val="32"/>
          <w:szCs w:val="32"/>
        </w:rPr>
      </w:pPr>
    </w:p>
    <w:p w14:paraId="54A3456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5E211F63">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14:paraId="7A60345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1.项目背景</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按照乌兰乡扬排站2024年度运行经费博财预</w:t>
      </w:r>
      <w:r>
        <w:rPr>
          <w:rStyle w:val="19"/>
          <w:rFonts w:hint="eastAsia" w:ascii="楷体" w:hAnsi="楷体" w:eastAsia="楷体"/>
          <w:spacing w:val="-4"/>
          <w:sz w:val="32"/>
          <w:szCs w:val="32"/>
          <w:lang w:eastAsia="zh-CN"/>
        </w:rPr>
        <w:t>〔2024〕1号</w:t>
      </w:r>
      <w:r>
        <w:rPr>
          <w:rStyle w:val="19"/>
          <w:rFonts w:hint="eastAsia" w:ascii="楷体" w:hAnsi="楷体" w:eastAsia="楷体"/>
          <w:spacing w:val="-4"/>
          <w:sz w:val="32"/>
          <w:szCs w:val="32"/>
        </w:rPr>
        <w:t>，为博湖县农排水人工湿地深度处理及生态修复工程（一期）扬排站及博湖县农排水人工湿地深度处理及生态修复工程9+600（二期）扬排站设备的正常运行、管理人员工资等提供经费保障，保障乌兰再格森乡充足的水源，促进乌兰再格森镇农业生产和农村发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保障博湖县农排水人工湿地深度处理及生态修复工程（一期）扬排站及博湖县农排水人工湿地深度处理及生态修复工程9+600（二期）扬排站1台设备的维修维护及2名管理人员的工资，保障我镇扬排站的正常运行及我镇农作物的及时灌溉。</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项目实施情况：2024年已完成我镇扬排站1台设备的维修，发放2名管理人员的工资，有效保障了我镇农作物的及时灌溉，同时为我镇农业生产和农村发展提供有力支持，促进了我镇农业生产和农村发展。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该项目年初预算数5万元，全年预算数5万元，该项目资金已全部落实到位，资金来源为财政拨款。</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5万元，全年预算数5万元，全年执行数5万元，预算执行率为100%，主要用于：保障博湖县农排水人工湿地深度处理及生态修复工程（一期）扬排站及博湖县农排水人工湿地深度处理及生态修复工程9+600（二期）扬排站的1台设备的维修费2万元、2名管理人员的工资3万元。</w:t>
      </w:r>
    </w:p>
    <w:p w14:paraId="7C9A45F0">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14:paraId="30CCA95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1.总体目标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保障博湖县农排水人工湿地深度处理及生态修复工程（一期）扬排站及博湖县农排水人工湿地深度处理及生态修复工程9+600（二期）扬排站的可持续运行，支付管理人员工资、设备维修等费用5万元，解决我镇农田排水问题，从而改善农村的农田灌溉条件，为我镇农业生产和农村发展提供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上半年做好对扬排站的设备的检查评估，管理人员工资的预算，明确规划扬排站运行资金的预算，积极对接县直部门确保扬排站设备维修及管理人员工资等项目资金的保障到位，同时根据实际情况设定成本上限，避免超支；</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下半年按计划对我镇扬排站设备进行部件更换及维修，及时发现问题，解决扬排站运行过程中出现的问题，发放2名管理人员工资，保障我镇扬排站的正常运行，农作物的及时灌溉，促进我镇农业生产和农村发展。</w:t>
      </w:r>
    </w:p>
    <w:p w14:paraId="41277D5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14:paraId="383C3714">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2EB0AB2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1.绩效评价完整性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通过对项目预算执行情况及各项绩效目标达成程度的系统性分析，全面、客观地评估项目在预定周期内的实施效果，包括社会效益，为项目后续的改进与优化提供科学依据。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（2）强化项目管理责任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（3）促进项目持续改进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乌兰乡扬排站2024年度运行经费及其预算执行情况。该项目由博湖县乌兰再格森镇人民政府负责实施，旨在保障我镇扬排站的正常运行，解决我乡农田排水问题，从而改善农村的农田灌溉条件，为我乡农业生产和农村发展提供有力支持。项目预算涵盖从2024年01月22日至2024年7月24日的全部资金投入与支出，涉及资金总额为5万元。</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（4）社会影响：考察乌兰再格森乡扬排站的运行对社会的综合影响。</w:t>
      </w:r>
    </w:p>
    <w:p w14:paraId="1E72311A">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14:paraId="0FBD763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公众评判法，原因是：通过满意度调查，直接获取农户对扬排站运行的反馈，从而发现扬排站运行过程中存在的问题，农户的不满或潜在的需求。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原因是：根据乌兰乡扬排站2024年度运行经费博财预[2024]001号，制定了本项目的目标及工作计划，确定了预算及定额作为评价标准。</w:t>
      </w:r>
    </w:p>
    <w:p w14:paraId="239EFE1C">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7DDECE6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（1）前期准备与规划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943BFB4">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14:paraId="6C1C0F0C">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（一）评价情况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乌兰乡扬排站2024年度运行经费在确保我镇扬排站设备的正常运行等方面表现出色，达到了预期的标准与要求。同时，项目也为我辖区农业生产提供了稳定的水源，在提高农作物的产量和品质等方面取得了显著的成效，如扬排站可以提高灌溉效率，满足不同地形、不同农作物的灌溉需求，同时扬排站可以实现精准灌溉，减少水资源的浪费，提高水资源利用率等。</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在项目管理方面，博湖县乌兰再格森镇人民政府通过有效的规划、组织与协调，项目得以顺利实施，并在预算与时间上保持了良好的控制。</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从项目效益的角度来看，本项目实现了预期的社会效益，具体而言，提高水资源利用率，提高农作物的产量和品质等方面的提升，为项目的利益相关者带来了实实在在的利益。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综上所述，乌兰乡扬排站2024年度运行经费在绩效评价中表现出色，达到了项目的预期目标，并在多个方面取得了显著的成效。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14:paraId="44C4E05C">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14:paraId="25B41EC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3F154B2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（一）项目决策情况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乌兰乡扬排站2024年度运行经费博财预[2024]001号，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此项权重分值为3分，得分为3分。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此项权重分值为3分，得分为3分。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此项权重分值为3分，得分为3分。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此项权重分值为3分，得分为3分。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p>
    <w:p w14:paraId="112810B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0753A383">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（二）项目过程情况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本项目总投资5万元，财政资金及时足额到位，到位率100%，预算资金按计划进度执行。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预算编制较为详细，项目资金支出总体能够按照预算执行，预算资金支出5万元，预算执行率为100%。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p>
    <w:p w14:paraId="10DD18B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1889E47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（三）项目产出情况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项目产出类指标包括产出数量、产出质量、产出时效、产出成本四方面的内容，由4个三级指标构成，权重分为40分，实际得分40分，得分率为100%。具体产出指标完成情况如下：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指标1：涉及维修设备个数，指标值：=1个，实际完成值：=1个，指标完成率100%；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指标2：工资发放人数，指标值：&gt;=2人，实际完成值：=2人，指标完成率100%；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此项权重分值为10分，得分为10分。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指标1：设备维修保障率，指标值：=100%，实际完成值：=100%，指标完成率100%；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此项权重分值为10分，得分为10分。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指标1：资金支付及时率，指标值：=100%，实际完成值：=100%，指标完成率100%；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此项权重分值为10分，得分为10分。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指标1：人员工资，指标值：&lt;=3万元，实际完成值：=3万元，指标完成率100%；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指标2：设备维修费用，指标值：&lt;=2万元，实际完成值：=2万元，指标完成率100%；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此项权重分值为10分，得分为10分。</w:t>
      </w:r>
    </w:p>
    <w:p w14:paraId="29EB3C5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427244DB">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（四）项目效益情况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指标1：扬排站正常运转率，指标值：=100%，实际完成值：=100%，指标完成率100%；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此项权重分值为10分，得分为10分。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2.满意度指标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指标1：受益农民满意度，指标值：=100%，实际完成值：=100%，指标完成率100%；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此项权重分值为10分，得分为10分。</w:t>
      </w:r>
    </w:p>
    <w:p w14:paraId="56B4B066">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满意度指标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指标1：受益农民满意度，指标值：=100%，实际完成值：=100%，指标完成率100%；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此项权重分值为10分，得分为10分。</w:t>
      </w:r>
    </w:p>
    <w:p w14:paraId="20B18D1E">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lang w:eastAsia="zh-CN"/>
        </w:rPr>
        <w:t>五</w:t>
      </w:r>
      <w:r>
        <w:rPr>
          <w:rStyle w:val="19"/>
          <w:rFonts w:hint="eastAsia" w:ascii="黑体" w:hAnsi="黑体" w:eastAsia="黑体"/>
          <w:b w:val="0"/>
          <w:spacing w:val="-4"/>
          <w:sz w:val="32"/>
          <w:szCs w:val="32"/>
        </w:rPr>
        <w:t>、</w:t>
      </w:r>
      <w:r>
        <w:rPr>
          <w:rStyle w:val="19"/>
          <w:rFonts w:ascii="黑体" w:hAnsi="黑体" w:eastAsia="黑体"/>
          <w:b w:val="0"/>
          <w:spacing w:val="-4"/>
          <w:sz w:val="32"/>
          <w:szCs w:val="32"/>
        </w:rPr>
        <w:t>主要经验及做法、存在的问题及原因分析</w:t>
      </w:r>
    </w:p>
    <w:p w14:paraId="15872D2F">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w:t>
      </w:r>
      <w:bookmarkStart w:id="0" w:name="_GoBack"/>
      <w:r>
        <w:rPr>
          <w:rStyle w:val="19"/>
          <w:rFonts w:hint="eastAsia" w:ascii="楷体" w:hAnsi="楷体" w:eastAsia="楷体"/>
          <w:spacing w:val="-4"/>
          <w:sz w:val="32"/>
          <w:szCs w:val="32"/>
          <w:lang w:eastAsia="zh-CN"/>
        </w:rPr>
        <w:t>由于</w:t>
      </w:r>
      <w:bookmarkEnd w:id="0"/>
      <w:r>
        <w:rPr>
          <w:rStyle w:val="19"/>
          <w:rFonts w:hint="eastAsia" w:ascii="楷体" w:hAnsi="楷体" w:eastAsia="楷体"/>
          <w:spacing w:val="-4"/>
          <w:sz w:val="32"/>
          <w:szCs w:val="32"/>
        </w:rPr>
        <w:t>部分人员缺乏相关绩效管理专业知识，自评价工作还存在自我审定的局限性，影响评价质量。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14:paraId="519CA145">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六</w:t>
      </w:r>
      <w:r>
        <w:rPr>
          <w:rStyle w:val="19"/>
          <w:rFonts w:ascii="黑体" w:hAnsi="黑体" w:eastAsia="黑体"/>
          <w:b w:val="0"/>
          <w:spacing w:val="-4"/>
          <w:sz w:val="32"/>
          <w:szCs w:val="32"/>
        </w:rPr>
        <w:t>、有关建议</w:t>
      </w:r>
    </w:p>
    <w:p w14:paraId="56AA499C">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9574ECA">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七</w:t>
      </w:r>
      <w:r>
        <w:rPr>
          <w:rStyle w:val="19"/>
          <w:rFonts w:hint="eastAsia" w:ascii="黑体" w:hAnsi="黑体" w:eastAsia="黑体"/>
          <w:b w:val="0"/>
          <w:spacing w:val="-4"/>
          <w:sz w:val="32"/>
          <w:szCs w:val="32"/>
        </w:rPr>
        <w:t>、其他需要说明的问题</w:t>
      </w:r>
    </w:p>
    <w:p w14:paraId="22A4474A">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本项目无其他需说明的问题。</w:t>
      </w:r>
    </w:p>
    <w:p w14:paraId="10D4E3CA">
      <w:pPr>
        <w:spacing w:line="540" w:lineRule="exact"/>
        <w:ind w:firstLine="567"/>
        <w:rPr>
          <w:rStyle w:val="19"/>
          <w:rFonts w:ascii="仿宋" w:hAnsi="仿宋" w:eastAsia="仿宋"/>
          <w:b w:val="0"/>
          <w:spacing w:val="-4"/>
          <w:sz w:val="32"/>
          <w:szCs w:val="32"/>
        </w:rPr>
      </w:pPr>
    </w:p>
    <w:p w14:paraId="4A2BD047">
      <w:pPr>
        <w:spacing w:line="540" w:lineRule="exact"/>
        <w:ind w:firstLine="567"/>
        <w:rPr>
          <w:rStyle w:val="19"/>
          <w:rFonts w:ascii="仿宋" w:hAnsi="仿宋" w:eastAsia="仿宋"/>
          <w:b w:val="0"/>
          <w:spacing w:val="-4"/>
          <w:sz w:val="32"/>
          <w:szCs w:val="32"/>
        </w:rPr>
      </w:pPr>
    </w:p>
    <w:p w14:paraId="6BD68D18">
      <w:pPr>
        <w:spacing w:line="540" w:lineRule="exact"/>
        <w:ind w:firstLine="567"/>
        <w:rPr>
          <w:rStyle w:val="19"/>
          <w:rFonts w:ascii="仿宋" w:hAnsi="仿宋" w:eastAsia="仿宋"/>
          <w:b w:val="0"/>
          <w:spacing w:val="-4"/>
          <w:sz w:val="32"/>
          <w:szCs w:val="32"/>
        </w:rPr>
      </w:pPr>
    </w:p>
    <w:p w14:paraId="68AD2FE5">
      <w:pPr>
        <w:spacing w:line="540" w:lineRule="exact"/>
        <w:ind w:firstLine="567"/>
        <w:rPr>
          <w:rStyle w:val="19"/>
          <w:rFonts w:ascii="仿宋" w:hAnsi="仿宋" w:eastAsia="仿宋"/>
          <w:b w:val="0"/>
          <w:spacing w:val="-4"/>
          <w:sz w:val="32"/>
          <w:szCs w:val="32"/>
        </w:rPr>
      </w:pPr>
    </w:p>
    <w:p w14:paraId="09D19A75">
      <w:pPr>
        <w:spacing w:line="540" w:lineRule="exact"/>
        <w:ind w:firstLine="567"/>
        <w:rPr>
          <w:rStyle w:val="19"/>
          <w:rFonts w:ascii="仿宋" w:hAnsi="仿宋" w:eastAsia="仿宋"/>
          <w:b w:val="0"/>
          <w:spacing w:val="-4"/>
          <w:sz w:val="32"/>
          <w:szCs w:val="32"/>
        </w:rPr>
      </w:pPr>
    </w:p>
    <w:p w14:paraId="6D6A210A">
      <w:pPr>
        <w:spacing w:line="540" w:lineRule="exact"/>
        <w:ind w:firstLine="567"/>
        <w:rPr>
          <w:rStyle w:val="19"/>
          <w:rFonts w:ascii="仿宋" w:hAnsi="仿宋" w:eastAsia="仿宋"/>
          <w:b w:val="0"/>
          <w:spacing w:val="-4"/>
          <w:sz w:val="32"/>
          <w:szCs w:val="32"/>
        </w:rPr>
      </w:pPr>
    </w:p>
    <w:p w14:paraId="1CEC656B">
      <w:pPr>
        <w:spacing w:line="540" w:lineRule="exact"/>
        <w:ind w:firstLine="567"/>
        <w:rPr>
          <w:rStyle w:val="19"/>
          <w:rFonts w:ascii="仿宋" w:hAnsi="仿宋" w:eastAsia="仿宋"/>
          <w:b w:val="0"/>
          <w:spacing w:val="-4"/>
          <w:sz w:val="32"/>
          <w:szCs w:val="32"/>
        </w:rPr>
      </w:pPr>
    </w:p>
    <w:p w14:paraId="384FF90F">
      <w:pPr>
        <w:spacing w:line="540" w:lineRule="exact"/>
        <w:ind w:firstLine="567"/>
        <w:rPr>
          <w:rStyle w:val="19"/>
          <w:rFonts w:ascii="仿宋" w:hAnsi="仿宋" w:eastAsia="仿宋"/>
          <w:b w:val="0"/>
          <w:spacing w:val="-4"/>
          <w:sz w:val="32"/>
          <w:szCs w:val="32"/>
        </w:rPr>
      </w:pPr>
    </w:p>
    <w:p w14:paraId="48D453D2">
      <w:pPr>
        <w:spacing w:line="540" w:lineRule="exact"/>
        <w:ind w:firstLine="567"/>
        <w:rPr>
          <w:rStyle w:val="19"/>
          <w:rFonts w:ascii="仿宋" w:hAnsi="仿宋" w:eastAsia="仿宋"/>
          <w:b w:val="0"/>
          <w:spacing w:val="-4"/>
          <w:sz w:val="32"/>
          <w:szCs w:val="32"/>
        </w:rPr>
      </w:pPr>
    </w:p>
    <w:p w14:paraId="20DBC964">
      <w:pPr>
        <w:spacing w:line="540" w:lineRule="exact"/>
        <w:ind w:firstLine="567"/>
        <w:rPr>
          <w:rStyle w:val="19"/>
          <w:rFonts w:ascii="仿宋" w:hAnsi="仿宋" w:eastAsia="仿宋"/>
          <w:b w:val="0"/>
          <w:spacing w:val="-4"/>
          <w:sz w:val="32"/>
          <w:szCs w:val="32"/>
        </w:rPr>
      </w:pPr>
    </w:p>
    <w:p w14:paraId="5DEBE457">
      <w:pPr>
        <w:spacing w:line="540" w:lineRule="exact"/>
        <w:ind w:firstLine="567"/>
        <w:rPr>
          <w:rStyle w:val="19"/>
          <w:rFonts w:ascii="仿宋" w:hAnsi="仿宋" w:eastAsia="仿宋"/>
          <w:b w:val="0"/>
          <w:spacing w:val="-4"/>
          <w:sz w:val="32"/>
          <w:szCs w:val="32"/>
        </w:rPr>
      </w:pPr>
    </w:p>
    <w:p w14:paraId="79791E46">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BB2D727">
        <w:pPr>
          <w:pStyle w:val="12"/>
          <w:jc w:val="center"/>
        </w:pPr>
        <w:r>
          <w:fldChar w:fldCharType="begin"/>
        </w:r>
        <w:r>
          <w:instrText xml:space="preserve">PAGE   \* MERGEFORMAT</w:instrText>
        </w:r>
        <w:r>
          <w:fldChar w:fldCharType="separate"/>
        </w:r>
        <w:r>
          <w:rPr>
            <w:lang w:val="zh-CN"/>
          </w:rPr>
          <w:t>1</w:t>
        </w:r>
        <w:r>
          <w:fldChar w:fldCharType="end"/>
        </w:r>
      </w:p>
    </w:sdtContent>
  </w:sdt>
  <w:p w14:paraId="58AE05F9">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F5195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160D1BA1944349B08C48068401F6E698</vt:lpwstr>
  </property>
</Properties>
</file>

<file path=customXml/itemProps1.xml><?xml version="1.0" encoding="utf-8"?>
<ds:datastoreItem xmlns:ds="http://schemas.openxmlformats.org/officeDocument/2006/customXml" ds:itemID="{3fc089ad-83f9-4232-8d96-da2bf08dd288}">
  <ds:schemaRefs/>
</ds:datastoreItem>
</file>

<file path=docProps/app.xml><?xml version="1.0" encoding="utf-8"?>
<Properties xmlns="http://schemas.openxmlformats.org/officeDocument/2006/extended-properties" xmlns:vt="http://schemas.openxmlformats.org/officeDocument/2006/docPropsVTypes">
  <Template>Normal.dotm</Template>
  <Pages>27</Pages>
  <Words>9463</Words>
  <Characters>9735</Characters>
  <Lines>5</Lines>
  <Paragraphs>1</Paragraphs>
  <TotalTime>0</TotalTime>
  <ScaleCrop>false</ScaleCrop>
  <LinksUpToDate>false</LinksUpToDate>
  <CharactersWithSpaces>9755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2025-09-25T03:55:54Z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160D1BA1944349B08C48068401F6E698</vt:lpwstr>
  </property>
  <property fmtid="{D5CDD505-2E9C-101B-9397-08002B2CF9AE}" pid="4" name="KSOTemplateDocerSaveRecord">
    <vt:lpwstr>eyJoZGlkIjoiN2E1ZDY0MDI5MTE3YjM0ZGMyMzg4N2EwMDI4ZjJiM2YiLCJ1c2VySWQiOiIyNTk4NTcxMjUifQ==</vt:lpwstr>
  </property>
</Properties>
</file>