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85C182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博湖县医疗保障局</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BDBB7B6">
      <w:r>
        <w:br w:type="page"/>
      </w:r>
    </w:p>
    <w:p w14:paraId="3FFBFB81">
      <w:pPr>
        <w:spacing w:line="640" w:lineRule="exact"/>
        <w:jc w:val="center"/>
        <w:outlineLvl w:val="1"/>
      </w:pPr>
      <w:r>
        <w:rPr>
          <w:rFonts w:ascii="黑体" w:hAnsi="黑体" w:eastAsia="黑体"/>
          <w:sz w:val="32"/>
        </w:rPr>
        <w:t>第一部分 部门概况</w:t>
      </w:r>
    </w:p>
    <w:p w14:paraId="0B30D561">
      <w:pPr>
        <w:spacing w:line="640" w:lineRule="exact"/>
        <w:ind w:firstLine="640"/>
        <w:jc w:val="both"/>
        <w:outlineLvl w:val="2"/>
      </w:pPr>
      <w:r>
        <w:rPr>
          <w:rFonts w:ascii="黑体" w:hAnsi="黑体" w:eastAsia="黑体"/>
          <w:sz w:val="32"/>
        </w:rPr>
        <w:t>一、主要职能</w:t>
      </w:r>
    </w:p>
    <w:p w14:paraId="4849FA1C">
      <w:pPr>
        <w:spacing w:line="580" w:lineRule="exact"/>
        <w:ind w:firstLine="640"/>
        <w:jc w:val="both"/>
      </w:pPr>
      <w:r>
        <w:rPr>
          <w:rFonts w:ascii="仿宋_GB2312" w:hAnsi="仿宋_GB2312" w:eastAsia="仿宋_GB2312"/>
          <w:sz w:val="32"/>
        </w:rPr>
        <w:t>（一）贯彻执行国家和自治区、自治州的各项医疗保险法律、法规和政策规定。</w:t>
      </w:r>
    </w:p>
    <w:p w14:paraId="1A4BAD26">
      <w:pPr>
        <w:spacing w:line="580" w:lineRule="exact"/>
        <w:ind w:firstLine="640"/>
        <w:jc w:val="both"/>
      </w:pPr>
      <w:r>
        <w:rPr>
          <w:rFonts w:ascii="仿宋_GB2312" w:hAnsi="仿宋_GB2312" w:eastAsia="仿宋_GB2312"/>
          <w:sz w:val="32"/>
        </w:rPr>
        <w:t>（二）负责医疗保险基金会计财务核算管理，编制基金预决算草案，经批准后组织实施，编制财务报告。负责社会保险基金统计分析工作。</w:t>
      </w:r>
    </w:p>
    <w:p w14:paraId="2E7637C8">
      <w:pPr>
        <w:spacing w:line="580" w:lineRule="exact"/>
        <w:ind w:firstLine="640"/>
        <w:jc w:val="both"/>
      </w:pPr>
      <w:r>
        <w:rPr>
          <w:rFonts w:ascii="仿宋_GB2312" w:hAnsi="仿宋_GB2312" w:eastAsia="仿宋_GB2312"/>
          <w:sz w:val="32"/>
        </w:rPr>
        <w:t>（三）负责医疗保险登记、征收等工作，负责医疗保险关系的建立、接续、转移工作。</w:t>
      </w:r>
    </w:p>
    <w:p w14:paraId="38E1FBFE">
      <w:pPr>
        <w:spacing w:line="580" w:lineRule="exact"/>
        <w:ind w:firstLine="640"/>
        <w:jc w:val="both"/>
      </w:pPr>
      <w:r>
        <w:rPr>
          <w:rFonts w:ascii="仿宋_GB2312" w:hAnsi="仿宋_GB2312" w:eastAsia="仿宋_GB2312"/>
          <w:sz w:val="32"/>
        </w:rPr>
        <w:t>（四）负责医疗、生育保险待遇的核发及待遇领取资格认证工作。</w:t>
      </w:r>
    </w:p>
    <w:p w14:paraId="7282A932">
      <w:pPr>
        <w:spacing w:line="580" w:lineRule="exact"/>
        <w:ind w:firstLine="640"/>
        <w:jc w:val="both"/>
      </w:pPr>
      <w:r>
        <w:rPr>
          <w:rFonts w:ascii="仿宋_GB2312" w:hAnsi="仿宋_GB2312" w:eastAsia="仿宋_GB2312"/>
          <w:sz w:val="32"/>
        </w:rPr>
        <w:t>（五）负责医疗保险咨询，开展医疗保险宣传、培训、调研工作；负责医疗保险档案管理。</w:t>
      </w:r>
    </w:p>
    <w:p w14:paraId="1C121CCF">
      <w:pPr>
        <w:spacing w:line="580" w:lineRule="exact"/>
        <w:ind w:firstLine="640"/>
        <w:jc w:val="both"/>
      </w:pPr>
      <w:r>
        <w:rPr>
          <w:rFonts w:ascii="仿宋_GB2312" w:hAnsi="仿宋_GB2312" w:eastAsia="仿宋_GB2312"/>
          <w:sz w:val="32"/>
        </w:rPr>
        <w:t>（六）负责稽核医疗保险费缴纳和医疗保险待遇支付和领取情况。</w:t>
      </w:r>
    </w:p>
    <w:p w14:paraId="210F3C5A">
      <w:pPr>
        <w:spacing w:line="640" w:lineRule="exact"/>
        <w:ind w:firstLine="640"/>
        <w:jc w:val="both"/>
        <w:outlineLvl w:val="2"/>
      </w:pPr>
      <w:r>
        <w:rPr>
          <w:rFonts w:ascii="黑体" w:hAnsi="黑体" w:eastAsia="黑体"/>
          <w:sz w:val="32"/>
        </w:rPr>
        <w:t>二、机构设置及人员情况</w:t>
      </w:r>
    </w:p>
    <w:p w14:paraId="3C510A46">
      <w:pPr>
        <w:spacing w:line="580" w:lineRule="exact"/>
        <w:ind w:firstLine="640"/>
        <w:jc w:val="both"/>
      </w:pPr>
      <w:r>
        <w:rPr>
          <w:rFonts w:ascii="仿宋_GB2312" w:hAnsi="仿宋_GB2312" w:eastAsia="仿宋_GB2312"/>
          <w:sz w:val="32"/>
        </w:rPr>
        <w:t>博湖县医疗保障局2024年度，实有人数13人，其中：在职人员12人，减少1人；离休人员0人，增加0人；退休人员1人,增加1人。</w:t>
      </w:r>
    </w:p>
    <w:p w14:paraId="6249CEC1">
      <w:pPr>
        <w:spacing w:line="580" w:lineRule="exact"/>
        <w:ind w:firstLine="640"/>
        <w:jc w:val="both"/>
      </w:pPr>
      <w:r>
        <w:rPr>
          <w:rFonts w:ascii="仿宋_GB2312" w:hAnsi="仿宋_GB2312" w:eastAsia="仿宋_GB2312"/>
          <w:sz w:val="32"/>
        </w:rPr>
        <w:t>博湖县医疗保障局无下属预算单位，下设5个科室，分别是：征缴科、待遇科、基金监管科、财务室、行政办公室。</w:t>
      </w:r>
    </w:p>
    <w:p w14:paraId="25F77A05">
      <w:r>
        <w:br w:type="page"/>
      </w:r>
    </w:p>
    <w:p w14:paraId="1A6A231F">
      <w:pPr>
        <w:spacing w:line="240" w:lineRule="auto"/>
        <w:jc w:val="center"/>
        <w:outlineLvl w:val="1"/>
      </w:pPr>
      <w:r>
        <w:rPr>
          <w:rFonts w:ascii="黑体" w:hAnsi="黑体" w:eastAsia="黑体"/>
          <w:sz w:val="32"/>
        </w:rPr>
        <w:t>第二部分 部门决算情况说明</w:t>
      </w:r>
    </w:p>
    <w:p w14:paraId="193D8B31">
      <w:pPr>
        <w:spacing w:line="640" w:lineRule="exact"/>
        <w:ind w:firstLine="640"/>
        <w:jc w:val="both"/>
        <w:outlineLvl w:val="2"/>
      </w:pPr>
      <w:r>
        <w:rPr>
          <w:rFonts w:ascii="黑体" w:hAnsi="黑体" w:eastAsia="黑体"/>
          <w:sz w:val="32"/>
        </w:rPr>
        <w:t>一、收入支出决算总体情况说明</w:t>
      </w:r>
    </w:p>
    <w:p w14:paraId="50BAA906">
      <w:pPr>
        <w:spacing w:line="580" w:lineRule="exact"/>
        <w:ind w:firstLine="640"/>
        <w:jc w:val="both"/>
      </w:pPr>
      <w:r>
        <w:rPr>
          <w:rFonts w:ascii="仿宋_GB2312" w:hAnsi="仿宋_GB2312" w:eastAsia="仿宋_GB2312"/>
          <w:b/>
          <w:sz w:val="32"/>
        </w:rPr>
        <w:t>2024年度收入总计263.33万元，</w:t>
      </w:r>
      <w:r>
        <w:rPr>
          <w:rFonts w:ascii="仿宋_GB2312" w:hAnsi="仿宋_GB2312" w:eastAsia="仿宋_GB2312"/>
          <w:b w:val="0"/>
          <w:sz w:val="32"/>
        </w:rPr>
        <w:t>其中：本年收入合计263.33万元，使用非财政拨款结余（含专用结余）0.00万元，年初结转和结余0.00万元。</w:t>
      </w:r>
    </w:p>
    <w:p w14:paraId="7C20629B">
      <w:pPr>
        <w:spacing w:line="580" w:lineRule="exact"/>
        <w:ind w:firstLine="640"/>
        <w:jc w:val="both"/>
      </w:pPr>
      <w:r>
        <w:rPr>
          <w:rFonts w:ascii="仿宋_GB2312" w:hAnsi="仿宋_GB2312" w:eastAsia="仿宋_GB2312"/>
          <w:b/>
          <w:sz w:val="32"/>
        </w:rPr>
        <w:t>2024年度支出总计263.33万元，</w:t>
      </w:r>
      <w:r>
        <w:rPr>
          <w:rFonts w:ascii="仿宋_GB2312" w:hAnsi="仿宋_GB2312" w:eastAsia="仿宋_GB2312"/>
          <w:b w:val="0"/>
          <w:sz w:val="32"/>
        </w:rPr>
        <w:t>其中：本年支出合计263.33万元，结余分配0.00万元，年末结转和结余0.00万元。</w:t>
      </w:r>
    </w:p>
    <w:p w14:paraId="698885D7">
      <w:pPr>
        <w:spacing w:line="580" w:lineRule="exact"/>
        <w:ind w:firstLine="640"/>
        <w:jc w:val="both"/>
      </w:pPr>
      <w:r>
        <w:rPr>
          <w:rFonts w:ascii="仿宋_GB2312" w:hAnsi="仿宋_GB2312" w:eastAsia="仿宋_GB2312"/>
          <w:b w:val="0"/>
          <w:sz w:val="32"/>
        </w:rPr>
        <w:t>收入支出总体与上年相比，增加27.97万元，增长11.88%，主要原因是：本年在职人员工资调增，社保、公积金基数调增，人员经费增加，本年增加医疗保障设备购置费、自治区人身意外伤害保险项目，导致经费较上年增加。</w:t>
      </w:r>
    </w:p>
    <w:p w14:paraId="4523D56A">
      <w:pPr>
        <w:spacing w:line="640" w:lineRule="exact"/>
        <w:ind w:firstLine="640"/>
        <w:jc w:val="both"/>
        <w:outlineLvl w:val="2"/>
      </w:pPr>
      <w:r>
        <w:rPr>
          <w:rFonts w:ascii="黑体" w:hAnsi="黑体" w:eastAsia="黑体"/>
          <w:sz w:val="32"/>
        </w:rPr>
        <w:t>二、收入决算情况说明</w:t>
      </w:r>
    </w:p>
    <w:p w14:paraId="005E4857">
      <w:pPr>
        <w:spacing w:line="580" w:lineRule="exact"/>
        <w:ind w:firstLine="640"/>
        <w:jc w:val="both"/>
      </w:pPr>
      <w:r>
        <w:rPr>
          <w:rFonts w:ascii="仿宋_GB2312" w:hAnsi="仿宋_GB2312" w:eastAsia="仿宋_GB2312"/>
          <w:b/>
          <w:sz w:val="32"/>
        </w:rPr>
        <w:t>本年收入263.33万元，</w:t>
      </w:r>
      <w:r>
        <w:rPr>
          <w:rFonts w:ascii="仿宋_GB2312" w:hAnsi="仿宋_GB2312" w:eastAsia="仿宋_GB2312"/>
          <w:b w:val="0"/>
          <w:sz w:val="32"/>
        </w:rPr>
        <w:t>其中：财政拨款收入263.33万元，占100.00%；上级补助收入0.00万元，占0.00%；事业收入0.00万元，占0.00%；经营收入0.00万元，占0.00%；附属单位上缴收入0.00万元，占0.00%；其他收入0.00万元，占0.00%。</w:t>
      </w:r>
    </w:p>
    <w:p w14:paraId="373BD31A">
      <w:pPr>
        <w:spacing w:line="640" w:lineRule="exact"/>
        <w:ind w:firstLine="640"/>
        <w:jc w:val="both"/>
        <w:outlineLvl w:val="2"/>
      </w:pPr>
      <w:r>
        <w:rPr>
          <w:rFonts w:ascii="黑体" w:hAnsi="黑体" w:eastAsia="黑体"/>
          <w:sz w:val="32"/>
        </w:rPr>
        <w:t>三、支出决算情况说明</w:t>
      </w:r>
    </w:p>
    <w:p w14:paraId="15BCE387">
      <w:pPr>
        <w:spacing w:line="580" w:lineRule="exact"/>
        <w:ind w:firstLine="640"/>
        <w:jc w:val="both"/>
      </w:pPr>
      <w:r>
        <w:rPr>
          <w:rFonts w:ascii="仿宋_GB2312" w:hAnsi="仿宋_GB2312" w:eastAsia="仿宋_GB2312"/>
          <w:b/>
          <w:sz w:val="32"/>
        </w:rPr>
        <w:t>本年支出263.33万元，</w:t>
      </w:r>
      <w:r>
        <w:rPr>
          <w:rFonts w:ascii="仿宋_GB2312" w:hAnsi="仿宋_GB2312" w:eastAsia="仿宋_GB2312"/>
          <w:b w:val="0"/>
          <w:sz w:val="32"/>
        </w:rPr>
        <w:t>其中：基本支出213.52万元，占81.08%；项目支出49.81万元，占18.92%；上缴上级支出0.00万元，占0.00%；经营支出0.00万元，占0.00%；对附属单位补助支出0.00万元，占0.00%。</w:t>
      </w:r>
    </w:p>
    <w:p w14:paraId="49C598ED">
      <w:pPr>
        <w:spacing w:line="640" w:lineRule="exact"/>
        <w:ind w:firstLine="640"/>
        <w:jc w:val="both"/>
        <w:outlineLvl w:val="2"/>
      </w:pPr>
      <w:r>
        <w:rPr>
          <w:rFonts w:ascii="黑体" w:hAnsi="黑体" w:eastAsia="黑体"/>
          <w:sz w:val="32"/>
        </w:rPr>
        <w:t>四、财政拨款收入支出决算总体情况说明</w:t>
      </w:r>
    </w:p>
    <w:p w14:paraId="371F122B">
      <w:pPr>
        <w:spacing w:line="580" w:lineRule="exact"/>
        <w:ind w:firstLine="640"/>
        <w:jc w:val="both"/>
      </w:pPr>
      <w:r>
        <w:rPr>
          <w:rFonts w:ascii="仿宋_GB2312" w:hAnsi="仿宋_GB2312" w:eastAsia="仿宋_GB2312"/>
          <w:b/>
          <w:sz w:val="32"/>
        </w:rPr>
        <w:t>2024年度财政拨款收入总计263.33万元，</w:t>
      </w:r>
      <w:r>
        <w:rPr>
          <w:rFonts w:ascii="仿宋_GB2312" w:hAnsi="仿宋_GB2312" w:eastAsia="仿宋_GB2312"/>
          <w:b w:val="0"/>
          <w:sz w:val="32"/>
        </w:rPr>
        <w:t>其中：年初财政拨款结转和结余0.00万元，本年财政拨款收入263.33万元。</w:t>
      </w:r>
      <w:r>
        <w:rPr>
          <w:rFonts w:ascii="仿宋_GB2312" w:hAnsi="仿宋_GB2312" w:eastAsia="仿宋_GB2312"/>
          <w:b/>
          <w:sz w:val="32"/>
        </w:rPr>
        <w:t>财政拨款支出总计263.33万元，</w:t>
      </w:r>
      <w:r>
        <w:rPr>
          <w:rFonts w:ascii="仿宋_GB2312" w:hAnsi="仿宋_GB2312" w:eastAsia="仿宋_GB2312"/>
          <w:b w:val="0"/>
          <w:sz w:val="32"/>
        </w:rPr>
        <w:t>其中：年末财政拨款结转和结余0.00万元，本年财政拨款支出263.33万元。</w:t>
      </w:r>
    </w:p>
    <w:p w14:paraId="26B8D9D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增加27.98万元，增长11.89%，主要原因是：本年在职人员工资调增，社保、公积金基数调增，人员经费增加，本年增加医疗保障设备购置费、自治区人身意外伤害保险项目，导致经费较上年增加。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年初预算数883.69万元，决算数263.33万元，预决算差异率-70.20%，主要原因是：年中调减居民基本医疗保险县级财政补助经费，导致预决算存在差异。</w:t>
      </w:r>
    </w:p>
    <w:p w14:paraId="65A51C2C">
      <w:pPr>
        <w:spacing w:line="640" w:lineRule="exact"/>
        <w:ind w:firstLine="640"/>
        <w:jc w:val="both"/>
        <w:outlineLvl w:val="2"/>
      </w:pPr>
      <w:r>
        <w:rPr>
          <w:rFonts w:ascii="黑体" w:hAnsi="黑体" w:eastAsia="黑体"/>
          <w:sz w:val="32"/>
        </w:rPr>
        <w:t>五、一般公共预算财政拨款支出决算情况说明</w:t>
      </w:r>
    </w:p>
    <w:p w14:paraId="72B31155">
      <w:pPr>
        <w:spacing w:line="640" w:lineRule="exact"/>
        <w:ind w:firstLine="640"/>
        <w:jc w:val="both"/>
        <w:outlineLvl w:val="3"/>
      </w:pPr>
      <w:r>
        <w:rPr>
          <w:rFonts w:ascii="楷体_GB2312" w:hAnsi="楷体_GB2312" w:eastAsia="楷体_GB2312"/>
          <w:b/>
          <w:sz w:val="32"/>
        </w:rPr>
        <w:t>（一）一般公共预算财政拨款支出决算总体情况</w:t>
      </w:r>
    </w:p>
    <w:p w14:paraId="6C0E25DA">
      <w:pPr>
        <w:spacing w:line="580" w:lineRule="exact"/>
        <w:ind w:firstLine="640"/>
        <w:jc w:val="both"/>
      </w:pPr>
      <w:r>
        <w:rPr>
          <w:rFonts w:ascii="仿宋_GB2312" w:hAnsi="仿宋_GB2312" w:eastAsia="仿宋_GB2312"/>
          <w:b/>
          <w:sz w:val="32"/>
        </w:rPr>
        <w:t>2024年度一般公共预算财政拨款支出263.33万元，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增加27.98万元，增长11.89%，主要原因是：本年在职人员工资调增，社保、公积金基数调增，人员经费增加，本年增加医疗保障设备购置费、自治区人身意外伤害保险项目，导致经费较上年增加。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年初预算数883.69万元，决算数263.33万元，预决算差异率-70.20%，主要原因是：年中调减居民基本医疗保险县级财政补助经费，导致预决算存在差异。</w:t>
      </w:r>
    </w:p>
    <w:p w14:paraId="59107CA6">
      <w:pPr>
        <w:spacing w:line="640" w:lineRule="exact"/>
        <w:ind w:firstLine="640"/>
        <w:jc w:val="both"/>
        <w:outlineLvl w:val="3"/>
      </w:pPr>
      <w:r>
        <w:rPr>
          <w:rFonts w:ascii="楷体_GB2312" w:hAnsi="楷体_GB2312" w:eastAsia="楷体_GB2312"/>
          <w:b/>
          <w:sz w:val="32"/>
        </w:rPr>
        <w:t>（二）一般公共预算财政拨款支出决算结构情况</w:t>
      </w:r>
    </w:p>
    <w:p w14:paraId="4B6C6273">
      <w:pPr>
        <w:spacing w:line="580" w:lineRule="exact"/>
        <w:ind w:firstLine="640"/>
        <w:jc w:val="both"/>
      </w:pPr>
      <w:r>
        <w:rPr>
          <w:rFonts w:ascii="仿宋_GB2312" w:hAnsi="仿宋_GB2312" w:eastAsia="仿宋_GB2312"/>
          <w:b w:val="0"/>
          <w:sz w:val="32"/>
        </w:rPr>
        <w:t>1.社会保障和就业支出(类)32.10万元,占12.19%。</w:t>
      </w:r>
    </w:p>
    <w:p w14:paraId="0D0AD59C">
      <w:pPr>
        <w:spacing w:line="580" w:lineRule="exact"/>
        <w:ind w:firstLine="640"/>
        <w:jc w:val="both"/>
      </w:pPr>
      <w:r>
        <w:rPr>
          <w:rFonts w:ascii="仿宋_GB2312" w:hAnsi="仿宋_GB2312" w:eastAsia="仿宋_GB2312"/>
          <w:b w:val="0"/>
          <w:sz w:val="32"/>
        </w:rPr>
        <w:t>2.卫生健康支出(类)214.94万元,占81.62%。</w:t>
      </w:r>
    </w:p>
    <w:p w14:paraId="7BFB66EF">
      <w:pPr>
        <w:spacing w:line="580" w:lineRule="exact"/>
        <w:ind w:firstLine="640"/>
        <w:jc w:val="both"/>
      </w:pPr>
      <w:r>
        <w:rPr>
          <w:rFonts w:ascii="仿宋_GB2312" w:hAnsi="仿宋_GB2312" w:eastAsia="仿宋_GB2312"/>
          <w:b w:val="0"/>
          <w:sz w:val="32"/>
        </w:rPr>
        <w:t>3.住房保障支出(类)16.29万元,占6.19%。</w:t>
      </w:r>
    </w:p>
    <w:p w14:paraId="235B43CB">
      <w:pPr>
        <w:spacing w:line="640" w:lineRule="exact"/>
        <w:ind w:firstLine="640"/>
        <w:jc w:val="both"/>
        <w:outlineLvl w:val="3"/>
      </w:pPr>
      <w:r>
        <w:rPr>
          <w:rFonts w:ascii="楷体_GB2312" w:hAnsi="楷体_GB2312" w:eastAsia="楷体_GB2312"/>
          <w:b/>
          <w:sz w:val="32"/>
        </w:rPr>
        <w:t>（三）一般公共预算财政拨款支出决算具体情况</w:t>
      </w:r>
    </w:p>
    <w:p w14:paraId="0267B34C">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1.社会保障和就业支出(类)行政事业单位养老支出(款)行政单位离退休(项):支出决算数为0.09万元，比上年决算增加0.09万元，增长100.00%,主要原因是：本年退休人员增加，退休费支出增加。</w:t>
      </w:r>
    </w:p>
    <w:p w14:paraId="3DBD693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20.60万元，比上年决算增加1.21万元，增长6.24%,主要原因是：本年在职人员工资基数调增，养老缴费基数上涨，相应支出增加。</w:t>
      </w:r>
    </w:p>
    <w:p w14:paraId="79E4E36D">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3.社会保障和就业支出(类)行政事业单位养老支出(款)机关事业单位职业年金缴费支出(项):支出决算数为11.41万元，比上年决算增加11.41万元，增长100.00%,主要原因是：本年新增退休人员，职业年金缴费支出增加。</w:t>
      </w:r>
    </w:p>
    <w:p w14:paraId="01705545">
      <w:pPr>
        <w:spacing w:line="580" w:lineRule="exact"/>
        <w:ind w:firstLine="640"/>
        <w:jc w:val="both"/>
      </w:pPr>
      <w:r>
        <w:rPr>
          <w:rFonts w:ascii="仿宋_GB2312" w:hAnsi="仿宋_GB2312" w:eastAsia="仿宋_GB2312"/>
          <w:b w:val="0"/>
          <w:sz w:val="32"/>
        </w:rPr>
        <w:t>4.卫生健康支出(类)行政事业单位医疗(款)行政单位医疗(项):支出决算数为9.37万元，比上年决算减少4.22万元，下降31.05%,主要原因是：因退休人员医疗保险制度改革，退休人员基本医疗不再由单位缴纳，导致经费较上年减少。</w:t>
      </w:r>
    </w:p>
    <w:p w14:paraId="757A180D">
      <w:pPr>
        <w:spacing w:line="580" w:lineRule="exact"/>
        <w:ind w:firstLine="640"/>
        <w:jc w:val="both"/>
      </w:pPr>
      <w:r>
        <w:rPr>
          <w:rFonts w:ascii="仿宋_GB2312" w:hAnsi="仿宋_GB2312" w:eastAsia="仿宋_GB2312"/>
          <w:b w:val="0"/>
          <w:sz w:val="32"/>
        </w:rPr>
        <w:t>5.卫生健康支出(类)行政事业单位医疗(款)公务员医疗补助(项):支出决算数为1.37万元，比上年决算增加0.10万元，增长7.87%,主要原因是：本年在职人员工资基数调增，公务员医疗补助上涨，相应支出增加。</w:t>
      </w:r>
    </w:p>
    <w:p w14:paraId="5E9261DD">
      <w:pPr>
        <w:spacing w:line="580" w:lineRule="exact"/>
        <w:ind w:firstLine="640"/>
        <w:jc w:val="both"/>
      </w:pPr>
      <w:r>
        <w:rPr>
          <w:rFonts w:ascii="仿宋_GB2312" w:hAnsi="仿宋_GB2312" w:eastAsia="仿宋_GB2312"/>
          <w:b w:val="0"/>
          <w:sz w:val="32"/>
        </w:rPr>
        <w:t>6.卫生健康支出(类)医疗救助(款)其他医疗救助支出(项):支出决算数为33.00万元，比上年决算增加33.00万元，增长100.00%,主要原因是：本年新增人身意外伤害保险项目支出。</w:t>
      </w:r>
    </w:p>
    <w:p w14:paraId="0D327BA3">
      <w:pPr>
        <w:spacing w:line="580" w:lineRule="exact"/>
        <w:ind w:firstLine="640"/>
        <w:jc w:val="both"/>
      </w:pPr>
      <w:r>
        <w:rPr>
          <w:rFonts w:ascii="仿宋_GB2312" w:hAnsi="仿宋_GB2312" w:eastAsia="仿宋_GB2312"/>
          <w:b w:val="0"/>
          <w:sz w:val="32"/>
        </w:rPr>
        <w:t>7.卫生健康支出(类)医疗保障管理事务(款)行政运行(项):支出决算数为154.40万元，比上年决算减少18.78万元，下降10.84%,主要原因是：本年在职人员调入调出，人员职级不同，工资基数不同，导致人员经费较上年减少。</w:t>
      </w:r>
    </w:p>
    <w:p w14:paraId="61BB26D2">
      <w:pPr>
        <w:spacing w:line="580" w:lineRule="exact"/>
        <w:ind w:firstLine="640"/>
        <w:jc w:val="both"/>
      </w:pPr>
      <w:r>
        <w:rPr>
          <w:rFonts w:ascii="仿宋_GB2312" w:hAnsi="仿宋_GB2312" w:eastAsia="仿宋_GB2312"/>
          <w:b w:val="0"/>
          <w:sz w:val="32"/>
        </w:rPr>
        <w:t>8.卫生健康支出(类)医疗保障管理事务(款)医疗保障经办事务(项):支出决算数为0.00万元，比上年决算减少3.00万元，下降100.00%,主要原因是：本年功能科目调整，自治区财政全民参保及医疗服务补助资金由本科目调整至其他医疗保障管理事务支出科目，相关支出减少。</w:t>
      </w:r>
    </w:p>
    <w:p w14:paraId="65F2978C">
      <w:pPr>
        <w:spacing w:line="580" w:lineRule="exact"/>
        <w:ind w:firstLine="640"/>
        <w:jc w:val="both"/>
      </w:pPr>
      <w:r>
        <w:rPr>
          <w:rFonts w:ascii="仿宋_GB2312" w:hAnsi="仿宋_GB2312" w:eastAsia="仿宋_GB2312"/>
          <w:b w:val="0"/>
          <w:sz w:val="32"/>
        </w:rPr>
        <w:t>9.卫生健康支出(类)医疗保障管理事务(款)其他医疗保障管理事务支出(项):支出决算数为16.81万元，比上年决算增加6.81万元，增长68.10%,主要原因是：本年功能科目调整，自治区财政全民参保及医疗服务补助资金由医疗保障经办事务科目调整至本科目列支，相关支出增加。</w:t>
      </w:r>
    </w:p>
    <w:p w14:paraId="2B2A453E">
      <w:pPr>
        <w:spacing w:line="580" w:lineRule="exact"/>
        <w:ind w:firstLine="640"/>
        <w:jc w:val="both"/>
      </w:pPr>
      <w:r>
        <w:rPr>
          <w:rFonts w:ascii="仿宋_GB2312" w:hAnsi="仿宋_GB2312" w:eastAsia="仿宋_GB2312"/>
          <w:b w:val="0"/>
          <w:sz w:val="32"/>
        </w:rPr>
        <w:t>10.住房保障支出(类)住房改革支出(款)住房公积金(项):支出决算数为16.29万元，比上年决算增加1.36万元，增长9.11%,主要原因是：本年在职人员工资基数调增，公积金缴费基数上涨，相应支出增加。</w:t>
      </w:r>
    </w:p>
    <w:p w14:paraId="2A965745">
      <w:pPr>
        <w:spacing w:line="640" w:lineRule="exact"/>
        <w:ind w:firstLine="640"/>
        <w:jc w:val="both"/>
        <w:outlineLvl w:val="2"/>
      </w:pPr>
      <w:r>
        <w:rPr>
          <w:rFonts w:ascii="黑体" w:hAnsi="黑体" w:eastAsia="黑体"/>
          <w:sz w:val="32"/>
        </w:rPr>
        <w:t>六、一般公共预算财政拨款基本支出决算情况说明</w:t>
      </w:r>
    </w:p>
    <w:p w14:paraId="14FA2FFB">
      <w:pPr>
        <w:spacing w:line="580" w:lineRule="exact"/>
        <w:ind w:firstLine="640"/>
        <w:jc w:val="both"/>
      </w:pPr>
      <w:r>
        <w:rPr>
          <w:rFonts w:ascii="仿宋_GB2312" w:hAnsi="仿宋_GB2312" w:eastAsia="仿宋_GB2312"/>
          <w:b w:val="0"/>
          <w:sz w:val="32"/>
        </w:rPr>
        <w:t>2024年度一般公共预算财政拨款基本支出213.52万元，其中：</w:t>
      </w:r>
      <w:r>
        <w:rPr>
          <w:rFonts w:ascii="仿宋_GB2312" w:hAnsi="仿宋_GB2312" w:eastAsia="仿宋_GB2312"/>
          <w:b/>
          <w:sz w:val="32"/>
        </w:rPr>
        <w:t>人员经费206.04万元，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w:t>
      </w:r>
    </w:p>
    <w:p w14:paraId="4B4110B2">
      <w:pPr>
        <w:spacing w:line="580" w:lineRule="exact"/>
        <w:ind w:firstLine="640"/>
        <w:jc w:val="both"/>
      </w:pPr>
      <w:r>
        <w:rPr>
          <w:rFonts w:ascii="仿宋_GB2312" w:hAnsi="仿宋_GB2312" w:eastAsia="仿宋_GB2312"/>
          <w:b/>
          <w:sz w:val="32"/>
        </w:rPr>
        <w:t>公用经费7.48万元，</w:t>
      </w:r>
      <w:r>
        <w:rPr>
          <w:rFonts w:ascii="仿宋_GB2312" w:hAnsi="仿宋_GB2312" w:eastAsia="仿宋_GB2312"/>
          <w:b w:val="0"/>
          <w:sz w:val="32"/>
        </w:rPr>
        <w:t>包括：办公费、电费、邮电费、取暖费、差旅费、维修（护）费、培训费、劳务费、工会经费、其他交通费用。</w:t>
      </w:r>
    </w:p>
    <w:p w14:paraId="24A5ECF6">
      <w:pPr>
        <w:spacing w:line="640" w:lineRule="exact"/>
        <w:ind w:firstLine="640"/>
        <w:jc w:val="both"/>
        <w:outlineLvl w:val="2"/>
      </w:pPr>
      <w:r>
        <w:rPr>
          <w:rFonts w:ascii="黑体" w:hAnsi="黑体" w:eastAsia="黑体"/>
          <w:sz w:val="32"/>
        </w:rPr>
        <w:t>七、政府性基金预算财政拨款收入支出决算情况说明</w:t>
      </w:r>
    </w:p>
    <w:p w14:paraId="0B49AD6B">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B6AB7DC">
      <w:pPr>
        <w:spacing w:line="640" w:lineRule="exact"/>
        <w:ind w:firstLine="640"/>
        <w:jc w:val="both"/>
        <w:outlineLvl w:val="2"/>
      </w:pPr>
      <w:r>
        <w:rPr>
          <w:rFonts w:ascii="黑体" w:hAnsi="黑体" w:eastAsia="黑体"/>
          <w:sz w:val="32"/>
        </w:rPr>
        <w:t>八、国有资本经营预算财政拨款收入支出决算情况说明</w:t>
      </w:r>
    </w:p>
    <w:p w14:paraId="5B80CB36">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34B94E4A">
      <w:pPr>
        <w:spacing w:line="640" w:lineRule="exact"/>
        <w:ind w:firstLine="640"/>
        <w:jc w:val="both"/>
        <w:outlineLvl w:val="2"/>
      </w:pPr>
      <w:r>
        <w:rPr>
          <w:rFonts w:ascii="黑体" w:hAnsi="黑体" w:eastAsia="黑体"/>
          <w:sz w:val="32"/>
        </w:rPr>
        <w:t>九、财政拨款“三公”经费支出决算情况说明</w:t>
      </w:r>
    </w:p>
    <w:p w14:paraId="4463985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0.39万元，下降100.00%，主要原因是：本部门公务用车报废，本年无公务用车运行维护费。其中：因公出国（境）费支出0.00万元，占0.00%，比上年增加0.00万元，增长0.00%，主要原因是：2023年与2024年均未安排因公出国（境）费支出。公务用车购置及运行维护费支出0.00万元，占0.00%，比上年减少0.39万元，下降100.00%，主要原因是：本部门公务用车报废，本年无公务用车运行维护费。公务接待费支出0.00万元，占0.00%，比上年增加0.00万元，增长0.00%，主要原因是：2023年与2024年均未安排公务接待费支出。</w:t>
      </w:r>
    </w:p>
    <w:p w14:paraId="51D45304">
      <w:pPr>
        <w:spacing w:line="580" w:lineRule="exact"/>
        <w:ind w:firstLine="640"/>
        <w:jc w:val="both"/>
      </w:pPr>
      <w:r>
        <w:rPr>
          <w:rFonts w:ascii="仿宋_GB2312" w:hAnsi="仿宋_GB2312" w:eastAsia="仿宋_GB2312"/>
          <w:b/>
          <w:sz w:val="32"/>
        </w:rPr>
        <w:t>具体情况如下：</w:t>
      </w:r>
    </w:p>
    <w:p w14:paraId="438F4FB7">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565E7C8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0B5CBB2C">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33A8055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13E1B0AE">
      <w:pPr>
        <w:spacing w:line="640" w:lineRule="exact"/>
        <w:ind w:firstLine="640"/>
        <w:jc w:val="both"/>
        <w:outlineLvl w:val="2"/>
      </w:pPr>
      <w:r>
        <w:rPr>
          <w:rFonts w:ascii="黑体" w:hAnsi="黑体" w:eastAsia="黑体"/>
          <w:sz w:val="32"/>
        </w:rPr>
        <w:t>十、其他重要事项的情况说明</w:t>
      </w:r>
    </w:p>
    <w:p w14:paraId="711560EF">
      <w:pPr>
        <w:spacing w:line="640" w:lineRule="exact"/>
        <w:ind w:firstLine="640"/>
        <w:jc w:val="both"/>
        <w:outlineLvl w:val="3"/>
      </w:pPr>
      <w:r>
        <w:rPr>
          <w:rFonts w:ascii="楷体_GB2312" w:hAnsi="楷体_GB2312" w:eastAsia="楷体_GB2312"/>
          <w:b/>
          <w:sz w:val="32"/>
        </w:rPr>
        <w:t>（一）机关运行经费及公用经费支出情况</w:t>
      </w:r>
    </w:p>
    <w:p w14:paraId="6798F5C5">
      <w:pPr>
        <w:spacing w:line="580" w:lineRule="exact"/>
        <w:ind w:firstLine="640"/>
        <w:jc w:val="both"/>
      </w:pPr>
      <w:r>
        <w:rPr>
          <w:rFonts w:ascii="仿宋_GB2312" w:hAnsi="仿宋_GB2312" w:eastAsia="仿宋_GB2312"/>
          <w:b w:val="0"/>
          <w:sz w:val="32"/>
        </w:rPr>
        <w:t>2024年度博湖县医疗保障局（行政单位和参照公务员法管理事业单位）机关运行经费支出7.48万元，比上年增加0.68万元，增长10.00%，主要原因是：本年更新、维护补充办公用品，导致机关运行经费较上年增加。</w:t>
      </w:r>
    </w:p>
    <w:p w14:paraId="1564CECD">
      <w:pPr>
        <w:spacing w:line="640" w:lineRule="exact"/>
        <w:ind w:firstLine="640"/>
        <w:jc w:val="both"/>
        <w:outlineLvl w:val="3"/>
      </w:pPr>
      <w:r>
        <w:rPr>
          <w:rFonts w:ascii="楷体_GB2312" w:hAnsi="楷体_GB2312" w:eastAsia="楷体_GB2312"/>
          <w:b/>
          <w:sz w:val="32"/>
        </w:rPr>
        <w:t>（二）政府采购情况</w:t>
      </w:r>
    </w:p>
    <w:p w14:paraId="111A4858">
      <w:pPr>
        <w:spacing w:line="580" w:lineRule="exact"/>
        <w:ind w:firstLine="640"/>
        <w:jc w:val="both"/>
      </w:pPr>
      <w:r>
        <w:rPr>
          <w:rFonts w:ascii="仿宋_GB2312" w:hAnsi="仿宋_GB2312" w:eastAsia="仿宋_GB2312"/>
          <w:b w:val="0"/>
          <w:sz w:val="32"/>
        </w:rPr>
        <w:t>2024年度政府采购支出总额15.10万元，其中：政府采购货物支出12.86万元、政府采购工程支出0.00万元、政府采购服务支出2.24万元。</w:t>
      </w:r>
    </w:p>
    <w:p w14:paraId="797DA268">
      <w:pPr>
        <w:spacing w:line="580" w:lineRule="exact"/>
        <w:ind w:firstLine="640"/>
        <w:jc w:val="both"/>
      </w:pPr>
      <w:r>
        <w:rPr>
          <w:rFonts w:ascii="仿宋_GB2312" w:hAnsi="仿宋_GB2312" w:eastAsia="仿宋_GB2312"/>
          <w:b w:val="0"/>
          <w:sz w:val="32"/>
        </w:rPr>
        <w:t>授予中小企业合同金额15.10万元，占政府采购支出总额的100.00%，其中：授予小微企业合同金额0.88万元，占政府采购支出总额的5.83%。</w:t>
      </w:r>
    </w:p>
    <w:p w14:paraId="1BAA293A">
      <w:pPr>
        <w:spacing w:line="640" w:lineRule="exact"/>
        <w:ind w:firstLine="640"/>
        <w:jc w:val="both"/>
        <w:outlineLvl w:val="3"/>
      </w:pPr>
      <w:r>
        <w:rPr>
          <w:rFonts w:ascii="楷体_GB2312" w:hAnsi="楷体_GB2312" w:eastAsia="楷体_GB2312"/>
          <w:b/>
          <w:sz w:val="32"/>
        </w:rPr>
        <w:t>（三）国有资产占用情况说明</w:t>
      </w:r>
    </w:p>
    <w:p w14:paraId="4035FA62">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08AF3925">
      <w:pPr>
        <w:spacing w:line="640" w:lineRule="exact"/>
        <w:ind w:firstLine="640"/>
        <w:jc w:val="both"/>
        <w:outlineLvl w:val="2"/>
      </w:pPr>
      <w:r>
        <w:rPr>
          <w:rFonts w:ascii="黑体" w:hAnsi="黑体" w:eastAsia="黑体"/>
          <w:sz w:val="32"/>
        </w:rPr>
        <w:t>十一、预算绩效的情况说明</w:t>
      </w:r>
    </w:p>
    <w:p w14:paraId="20D57A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both"/>
        <w:textAlignment w:val="auto"/>
      </w:pPr>
      <w:r>
        <w:rPr>
          <w:rFonts w:ascii="仿宋_GB2312" w:hAnsi="仿宋_GB2312" w:eastAsia="仿宋_GB2312"/>
          <w:b w:val="0"/>
          <w:sz w:val="32"/>
        </w:rPr>
        <w:t>根据预算绩效管理要求，本部门2024年度预算绩效管理形成整体支出绩效自评表1个，全年预算总额263.34万元，实际执行总额263.33万元；预算绩效评价项目4个，全年预算数689.53万元，全年执行数688.76万元。预算绩效管理取得的成效：</w:t>
      </w:r>
      <w:r>
        <w:rPr>
          <w:rFonts w:hint="default" w:ascii="仿宋_GB2312" w:hAnsi="Times New Roman" w:eastAsia="仿宋_GB2312" w:cs="Times New Roman"/>
          <w:color w:val="auto"/>
          <w:spacing w:val="0"/>
          <w:kern w:val="2"/>
          <w:sz w:val="32"/>
          <w:szCs w:val="32"/>
          <w:highlight w:val="none"/>
          <w:lang w:val="en-US" w:eastAsia="zh-CN" w:bidi="ar-SA"/>
        </w:rPr>
        <w:t>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Times New Roman" w:eastAsia="仿宋_GB2312" w:cs="Times New Roman"/>
          <w:color w:val="auto"/>
          <w:spacing w:val="0"/>
          <w:kern w:val="2"/>
          <w:sz w:val="32"/>
          <w:szCs w:val="32"/>
          <w:highlight w:val="none"/>
          <w:lang w:val="en-US" w:eastAsia="zh-CN" w:bidi="ar-SA"/>
        </w:rPr>
        <w:t>有效</w:t>
      </w:r>
      <w:r>
        <w:rPr>
          <w:rFonts w:hint="default" w:ascii="仿宋_GB2312" w:hAnsi="Times New Roman" w:eastAsia="仿宋_GB2312" w:cs="Times New Roman"/>
          <w:color w:val="auto"/>
          <w:spacing w:val="0"/>
          <w:kern w:val="2"/>
          <w:sz w:val="32"/>
          <w:szCs w:val="32"/>
          <w:highlight w:val="none"/>
          <w:lang w:val="en-US" w:eastAsia="zh-CN" w:bidi="ar-SA"/>
        </w:rPr>
        <w:t>降低资金偏离政策目标的风险，提高了资金使用效益。</w:t>
      </w:r>
      <w:r>
        <w:rPr>
          <w:rFonts w:ascii="仿宋_GB2312" w:hAnsi="仿宋_GB2312" w:eastAsia="仿宋_GB2312"/>
          <w:b w:val="0"/>
          <w:sz w:val="32"/>
        </w:rPr>
        <w:t>发现的问题及原因：一是绩效指标目标值及指标体系的设定有待进一步科学及合理化。项目的年度绩效目标和预期产出或效果等细化、量化的绩效指标数值不够具体、明确；二是预算绩效管理水平仍有欠缺。在2024年预算绩效管理工作中，对全面实施预算绩效管理的要求认识还不到位，项目申报、实施等环节与预算绩效管理各个环节联系不够紧密；同时，专业人手不足、绩效管理能力较为欠缺。下一步改进措施：一是进一步提高项目绩效目标设置水平，进一步夯实绩效管理基础工作，扎实提高业务经办的技术水平，扎扎实实对绩效目标指标设置、监控、自评等工作进行系统性学习，提高绩效指标设置的合理性、关联性，提高绩效管理基础工作水平；二是加强单位绩效工作人员对绩效管理工作方面的培训，提高对全面实施预算绩效管理的认识，进一步夯实业务基础，提高</w:t>
      </w:r>
      <w:r>
        <w:rPr>
          <w:rFonts w:hint="eastAsia" w:ascii="仿宋_GB2312" w:hAnsi="仿宋_GB2312" w:eastAsia="仿宋_GB2312"/>
          <w:b w:val="0"/>
          <w:sz w:val="32"/>
          <w:lang w:val="en-US" w:eastAsia="zh-CN"/>
        </w:rPr>
        <w:t>本部门</w:t>
      </w:r>
      <w:r>
        <w:rPr>
          <w:rFonts w:ascii="仿宋_GB2312" w:hAnsi="仿宋_GB2312" w:eastAsia="仿宋_GB2312"/>
          <w:b w:val="0"/>
          <w:sz w:val="32"/>
        </w:rPr>
        <w:t>绩效管理工作。具体附部门整体支出绩效自评表，项目支出绩效自评表和部门评价报告。</w:t>
      </w:r>
    </w:p>
    <w:p w14:paraId="1E50ACC2">
      <w:r>
        <w:br w:type="page"/>
      </w:r>
    </w:p>
    <w:tbl>
      <w:tblPr>
        <w:tblStyle w:val="10"/>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1835FA3">
        <w:tblPrEx>
          <w:tblCellMar>
            <w:top w:w="0" w:type="dxa"/>
            <w:left w:w="108" w:type="dxa"/>
            <w:bottom w:w="0" w:type="dxa"/>
            <w:right w:w="108" w:type="dxa"/>
          </w:tblCellMar>
        </w:tblPrEx>
        <w:tc>
          <w:tcPr>
            <w:tcW w:w="8840" w:type="dxa"/>
            <w:gridSpan w:val="8"/>
            <w:vAlign w:val="center"/>
          </w:tcPr>
          <w:p w14:paraId="2E117267">
            <w:pPr>
              <w:jc w:val="center"/>
            </w:pPr>
            <w:r>
              <w:rPr>
                <w:rFonts w:ascii="宋体" w:hAnsi="宋体" w:eastAsia="宋体"/>
                <w:sz w:val="24"/>
              </w:rPr>
              <w:t>部门整体支出绩效自评表</w:t>
            </w:r>
          </w:p>
        </w:tc>
      </w:tr>
      <w:tr w14:paraId="5A16BC4E">
        <w:tblPrEx>
          <w:tblCellMar>
            <w:top w:w="0" w:type="dxa"/>
            <w:left w:w="108" w:type="dxa"/>
            <w:bottom w:w="0" w:type="dxa"/>
            <w:right w:w="108" w:type="dxa"/>
          </w:tblCellMar>
        </w:tblPrEx>
        <w:tc>
          <w:tcPr>
            <w:tcW w:w="8840" w:type="dxa"/>
            <w:gridSpan w:val="8"/>
            <w:vAlign w:val="center"/>
          </w:tcPr>
          <w:p w14:paraId="65C07B43">
            <w:pPr>
              <w:jc w:val="center"/>
            </w:pPr>
            <w:r>
              <w:rPr>
                <w:rFonts w:ascii="宋体" w:hAnsi="宋体" w:eastAsia="宋体"/>
                <w:sz w:val="24"/>
              </w:rPr>
              <w:t>（2024年度）</w:t>
            </w:r>
          </w:p>
        </w:tc>
      </w:tr>
      <w:tr w14:paraId="1ED39AF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BF6FCD">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5DF4AD">
            <w:pPr>
              <w:jc w:val="center"/>
            </w:pPr>
            <w:r>
              <w:rPr>
                <w:rFonts w:ascii="宋体" w:hAnsi="宋体" w:eastAsia="宋体"/>
                <w:sz w:val="16"/>
              </w:rPr>
              <w:t>博湖县医疗保障局</w:t>
            </w:r>
          </w:p>
        </w:tc>
      </w:tr>
      <w:tr w14:paraId="2B354E0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158E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48189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34EDE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CB38F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1021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CE8D6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B845C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C67C4D">
            <w:pPr>
              <w:jc w:val="center"/>
            </w:pPr>
            <w:r>
              <w:rPr>
                <w:rFonts w:ascii="宋体" w:hAnsi="宋体" w:eastAsia="宋体"/>
                <w:sz w:val="16"/>
              </w:rPr>
              <w:t>得分</w:t>
            </w:r>
          </w:p>
        </w:tc>
      </w:tr>
      <w:tr w14:paraId="3F4F4D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8B93B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0D84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9E5FF3">
            <w:pPr>
              <w:jc w:val="center"/>
            </w:pPr>
            <w:r>
              <w:rPr>
                <w:rFonts w:ascii="宋体" w:hAnsi="宋体" w:eastAsia="宋体"/>
                <w:sz w:val="16"/>
              </w:rPr>
              <w:t>883.69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A5EB6E">
            <w:pPr>
              <w:jc w:val="center"/>
            </w:pPr>
            <w:r>
              <w:rPr>
                <w:rFonts w:ascii="宋体" w:hAnsi="宋体" w:eastAsia="宋体"/>
                <w:sz w:val="16"/>
              </w:rPr>
              <w:t>263.34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A2CCF3">
            <w:pPr>
              <w:jc w:val="center"/>
            </w:pPr>
            <w:r>
              <w:rPr>
                <w:rFonts w:ascii="宋体" w:hAnsi="宋体" w:eastAsia="宋体"/>
                <w:sz w:val="16"/>
              </w:rPr>
              <w:t>263.33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4406E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A936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CCAFE">
            <w:pPr>
              <w:jc w:val="center"/>
            </w:pPr>
            <w:r>
              <w:rPr>
                <w:rFonts w:ascii="宋体" w:hAnsi="宋体" w:eastAsia="宋体"/>
                <w:sz w:val="16"/>
              </w:rPr>
              <w:t>10</w:t>
            </w:r>
          </w:p>
        </w:tc>
      </w:tr>
      <w:tr w14:paraId="2A3392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A791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6FFE8D">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4CAFDC">
            <w:pPr>
              <w:jc w:val="center"/>
            </w:pPr>
            <w:r>
              <w:rPr>
                <w:rFonts w:ascii="宋体" w:hAnsi="宋体" w:eastAsia="宋体"/>
                <w:sz w:val="16"/>
              </w:rPr>
              <w:t>36.00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59567">
            <w:pPr>
              <w:jc w:val="center"/>
            </w:pPr>
            <w:r>
              <w:rPr>
                <w:rFonts w:ascii="宋体" w:hAnsi="宋体" w:eastAsia="宋体"/>
                <w:sz w:val="16"/>
              </w:rPr>
              <w:t>36.00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EBEC0">
            <w:pPr>
              <w:jc w:val="center"/>
            </w:pPr>
            <w:r>
              <w:rPr>
                <w:rFonts w:ascii="宋体" w:hAnsi="宋体" w:eastAsia="宋体"/>
                <w:sz w:val="16"/>
              </w:rPr>
              <w:t>36.00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D17F8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18E1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040A9E">
            <w:pPr>
              <w:jc w:val="center"/>
            </w:pPr>
            <w:r>
              <w:rPr>
                <w:rFonts w:ascii="宋体" w:hAnsi="宋体" w:eastAsia="宋体"/>
                <w:sz w:val="16"/>
              </w:rPr>
              <w:t>-</w:t>
            </w:r>
          </w:p>
        </w:tc>
      </w:tr>
      <w:tr w14:paraId="5D4557A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D78B9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F670B">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F0F7C">
            <w:pPr>
              <w:jc w:val="center"/>
            </w:pPr>
            <w:r>
              <w:rPr>
                <w:rFonts w:ascii="宋体" w:hAnsi="宋体" w:eastAsia="宋体"/>
                <w:sz w:val="16"/>
              </w:rPr>
              <w:t>847.69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D700E">
            <w:pPr>
              <w:jc w:val="center"/>
            </w:pPr>
            <w:r>
              <w:rPr>
                <w:rFonts w:ascii="宋体" w:hAnsi="宋体" w:eastAsia="宋体"/>
                <w:sz w:val="16"/>
              </w:rPr>
              <w:t>227.34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EC6F7B">
            <w:pPr>
              <w:jc w:val="center"/>
            </w:pPr>
            <w:r>
              <w:rPr>
                <w:rFonts w:ascii="宋体" w:hAnsi="宋体" w:eastAsia="宋体"/>
                <w:sz w:val="16"/>
              </w:rPr>
              <w:t>227.33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7F50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E6789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AB4ABA">
            <w:pPr>
              <w:jc w:val="center"/>
            </w:pPr>
            <w:r>
              <w:rPr>
                <w:rFonts w:ascii="宋体" w:hAnsi="宋体" w:eastAsia="宋体"/>
                <w:sz w:val="16"/>
              </w:rPr>
              <w:t>-</w:t>
            </w:r>
          </w:p>
        </w:tc>
      </w:tr>
      <w:tr w14:paraId="10800C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7FB3C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DE8D3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32E67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4DA6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5F6AD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946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DE3C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0A9555">
            <w:pPr>
              <w:jc w:val="center"/>
            </w:pPr>
            <w:r>
              <w:rPr>
                <w:rFonts w:ascii="宋体" w:hAnsi="宋体" w:eastAsia="宋体"/>
                <w:sz w:val="16"/>
              </w:rPr>
              <w:t>-</w:t>
            </w:r>
          </w:p>
        </w:tc>
      </w:tr>
      <w:tr w14:paraId="0F386FC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3C445">
            <w:pPr>
              <w:jc w:val="center"/>
            </w:pPr>
            <w:r>
              <w:rPr>
                <w:rFonts w:ascii="宋体" w:hAnsi="宋体" w:eastAsia="宋体"/>
                <w:sz w:val="16"/>
              </w:rPr>
              <w:t>年度总体目标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DF2C7F">
            <w:pPr>
              <w:jc w:val="center"/>
            </w:pPr>
            <w:r>
              <w:rPr>
                <w:rFonts w:ascii="宋体" w:hAnsi="宋体" w:eastAsia="宋体"/>
                <w:sz w:val="16"/>
              </w:rPr>
              <w:t>预期目标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8D123E">
            <w:pPr>
              <w:jc w:val="center"/>
            </w:pPr>
            <w:r>
              <w:rPr>
                <w:rFonts w:ascii="宋体" w:hAnsi="宋体" w:eastAsia="宋体"/>
                <w:sz w:val="16"/>
              </w:rPr>
              <w:t>实际完成情况</w:t>
            </w:r>
          </w:p>
        </w:tc>
      </w:tr>
      <w:tr w14:paraId="03D8340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C07A1B"/>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B3904D">
            <w:pPr>
              <w:jc w:val="both"/>
            </w:pPr>
            <w:r>
              <w:rPr>
                <w:rFonts w:ascii="宋体" w:hAnsi="宋体" w:eastAsia="宋体"/>
                <w:sz w:val="16"/>
              </w:rPr>
              <w:t>紧紧围绕社会稳定和长治久安总目标，全面贯彻落实国家、自治区、自治州方针政策和战略部署，按照县委、县政府年度工作任务安排，落实全县城乡居民基本医疗保险和困难、低保家庭人员及时享受医保待遇，促进社会经济和谐发展。贯彻落实医疗保障政策，积极落实对符合条件的困难人员参加居民医保个人缴费资助政策，用好特殊人员参保工作台账查询模块，实时监测脱贫人口参保情况，保持动态清零；健全完善严密有效的基金监管机制、制度体系，提升医保基金监管治理能力水平，不定时开展基金稽核工作；积极推进全民参保计划，按要求完成城乡居民基本医疗保险征缴任务，确保城乡居民基本医疗保险参保人员依法享受医保政策范围内的医保待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4959A4">
            <w:pPr>
              <w:jc w:val="both"/>
            </w:pPr>
            <w:r>
              <w:rPr>
                <w:rFonts w:ascii="宋体" w:hAnsi="宋体" w:eastAsia="宋体"/>
                <w:sz w:val="16"/>
              </w:rPr>
              <w:t>2024年已完成城乡居民基本医疗保险参保人数为3.47万人，特殊群体代缴费人数为6410人，激活医保电子凭证人数达到4.3万人，已开展基金稽核工作12次，其中稽核定点医疗机构4次，稽核定点零售药店8次，保障了困难群体正常享受医保待遇，不断提升医保公共服务事项“网上办”“掌上办”办件率，不断提升医保基金监管治理能力水平，保障了城乡居民基本医疗保险参保人员依法享受医保政策范围内的医保待遇。</w:t>
            </w:r>
          </w:p>
        </w:tc>
      </w:tr>
      <w:tr w14:paraId="1314DC1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2C544E">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EF052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248AF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134665">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1DC76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5DB7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96744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732EFD">
            <w:pPr>
              <w:jc w:val="center"/>
            </w:pPr>
            <w:r>
              <w:rPr>
                <w:rFonts w:ascii="宋体" w:hAnsi="宋体" w:eastAsia="宋体"/>
                <w:sz w:val="16"/>
              </w:rPr>
              <w:t>得分</w:t>
            </w:r>
          </w:p>
        </w:tc>
      </w:tr>
      <w:tr w14:paraId="068535E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ECAE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5638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B1C234">
            <w:pPr>
              <w:jc w:val="center"/>
            </w:pPr>
            <w:r>
              <w:rPr>
                <w:rFonts w:hint="eastAsia" w:ascii="宋体" w:hAnsi="宋体"/>
                <w:sz w:val="16"/>
                <w:lang w:eastAsia="zh-CN"/>
              </w:rPr>
              <w:t>城乡居民基本医疗保险</w:t>
            </w:r>
            <w:r>
              <w:rPr>
                <w:rFonts w:ascii="宋体" w:hAnsi="宋体" w:eastAsia="宋体"/>
                <w:sz w:val="16"/>
              </w:rPr>
              <w:t>参保人数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D0371B">
            <w:pPr>
              <w:jc w:val="center"/>
            </w:pPr>
            <w:r>
              <w:rPr>
                <w:rFonts w:ascii="宋体" w:hAnsi="宋体" w:eastAsia="宋体"/>
                <w:sz w:val="16"/>
              </w:rPr>
              <w:t>&gt;=3.50万人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27011">
            <w:pPr>
              <w:jc w:val="center"/>
            </w:pPr>
            <w:r>
              <w:rPr>
                <w:rFonts w:ascii="宋体" w:hAnsi="宋体" w:eastAsia="宋体"/>
                <w:sz w:val="16"/>
              </w:rPr>
              <w:t>关于做好2023年自治州城乡居民基本医疗保障工作的通知（巴医保发〔2023〕35号）、博湖县医疗保障局2024年工作计划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2927AD">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A2C84">
            <w:pPr>
              <w:jc w:val="center"/>
            </w:pPr>
            <w:r>
              <w:rPr>
                <w:rFonts w:ascii="宋体" w:hAnsi="宋体" w:eastAsia="宋体"/>
                <w:sz w:val="16"/>
              </w:rPr>
              <w:t>3.47万人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131D12">
            <w:pPr>
              <w:jc w:val="center"/>
            </w:pPr>
            <w:r>
              <w:rPr>
                <w:rFonts w:ascii="宋体" w:hAnsi="宋体" w:eastAsia="宋体"/>
                <w:sz w:val="16"/>
              </w:rPr>
              <w:t>24.79</w:t>
            </w:r>
          </w:p>
        </w:tc>
      </w:tr>
      <w:tr w14:paraId="39B5A9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7C52F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EE715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1CAAD">
            <w:pPr>
              <w:jc w:val="center"/>
            </w:pPr>
            <w:r>
              <w:rPr>
                <w:rFonts w:ascii="宋体" w:hAnsi="宋体" w:eastAsia="宋体"/>
                <w:sz w:val="16"/>
              </w:rPr>
              <w:t>激活医保电子凭证人数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0D16AA">
            <w:pPr>
              <w:jc w:val="center"/>
            </w:pPr>
            <w:r>
              <w:rPr>
                <w:rFonts w:ascii="宋体" w:hAnsi="宋体" w:eastAsia="宋体"/>
                <w:sz w:val="16"/>
              </w:rPr>
              <w:t>&gt;=4.08万人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EB272">
            <w:pPr>
              <w:jc w:val="center"/>
            </w:pPr>
            <w:r>
              <w:rPr>
                <w:rFonts w:ascii="宋体" w:hAnsi="宋体" w:eastAsia="宋体"/>
                <w:sz w:val="16"/>
              </w:rPr>
              <w:t>博湖县医疗保障局2023年工作总结及2024年工作安排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88D3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F490A5">
            <w:pPr>
              <w:jc w:val="center"/>
            </w:pPr>
            <w:r>
              <w:rPr>
                <w:rFonts w:ascii="宋体" w:hAnsi="宋体" w:eastAsia="宋体"/>
                <w:sz w:val="16"/>
              </w:rPr>
              <w:t>4.3万人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F793CC">
            <w:pPr>
              <w:jc w:val="center"/>
            </w:pPr>
            <w:r>
              <w:rPr>
                <w:rFonts w:ascii="宋体" w:hAnsi="宋体" w:eastAsia="宋体"/>
                <w:sz w:val="16"/>
              </w:rPr>
              <w:t>20</w:t>
            </w:r>
          </w:p>
        </w:tc>
      </w:tr>
      <w:tr w14:paraId="0FD8DA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154018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7BCB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EB98E">
            <w:pPr>
              <w:jc w:val="center"/>
            </w:pPr>
            <w:r>
              <w:rPr>
                <w:rFonts w:ascii="宋体" w:hAnsi="宋体" w:eastAsia="宋体"/>
                <w:sz w:val="16"/>
              </w:rPr>
              <w:t>开展基金稽核工作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A700E2">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2C98D0">
            <w:pPr>
              <w:jc w:val="center"/>
            </w:pPr>
            <w:r>
              <w:rPr>
                <w:rFonts w:ascii="宋体" w:hAnsi="宋体" w:eastAsia="宋体"/>
                <w:sz w:val="16"/>
              </w:rPr>
              <w:t>博湖县医疗保障局2024年工作计划、博湖县医疗保障局2024年关于加强基金监管监督检查工作计划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B6FB5B">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B96D3">
            <w:pPr>
              <w:jc w:val="center"/>
            </w:pPr>
            <w:r>
              <w:rPr>
                <w:rFonts w:ascii="宋体" w:hAnsi="宋体" w:eastAsia="宋体"/>
                <w:sz w:val="16"/>
              </w:rPr>
              <w: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B8BB7E">
            <w:pPr>
              <w:jc w:val="center"/>
            </w:pPr>
            <w:r>
              <w:rPr>
                <w:rFonts w:ascii="宋体" w:hAnsi="宋体" w:eastAsia="宋体"/>
                <w:sz w:val="16"/>
              </w:rPr>
              <w:t>20</w:t>
            </w:r>
          </w:p>
        </w:tc>
      </w:tr>
      <w:tr w14:paraId="16A088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18820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BB71C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F79CE9">
            <w:pPr>
              <w:jc w:val="center"/>
            </w:pPr>
            <w:r>
              <w:rPr>
                <w:rFonts w:ascii="宋体" w:hAnsi="宋体" w:eastAsia="宋体"/>
                <w:sz w:val="16"/>
              </w:rPr>
              <w:t>特殊群体代缴费人数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DCE374">
            <w:pPr>
              <w:jc w:val="center"/>
            </w:pPr>
            <w:r>
              <w:rPr>
                <w:rFonts w:ascii="宋体" w:hAnsi="宋体" w:eastAsia="宋体"/>
                <w:sz w:val="16"/>
              </w:rPr>
              <w:t>&gt;=6000人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11CF17">
            <w:pPr>
              <w:jc w:val="center"/>
            </w:pPr>
            <w:r>
              <w:rPr>
                <w:rFonts w:ascii="宋体" w:hAnsi="宋体" w:eastAsia="宋体"/>
                <w:sz w:val="16"/>
              </w:rPr>
              <w:t>关于做好2023年自治州城乡居民基本医疗保障工作的通知（巴医保发〔2023〕35号）、博湖县医疗保障局2023年工作总结及2024年工作安排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6811E2">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1F1223">
            <w:pPr>
              <w:jc w:val="center"/>
            </w:pPr>
            <w:r>
              <w:rPr>
                <w:rFonts w:ascii="宋体" w:hAnsi="宋体" w:eastAsia="宋体"/>
                <w:sz w:val="16"/>
              </w:rPr>
              <w:t>6410人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175522">
            <w:pPr>
              <w:jc w:val="center"/>
            </w:pPr>
            <w:r>
              <w:rPr>
                <w:rFonts w:ascii="宋体" w:hAnsi="宋体" w:eastAsia="宋体"/>
                <w:sz w:val="16"/>
              </w:rPr>
              <w:t>25</w:t>
            </w:r>
          </w:p>
        </w:tc>
      </w:tr>
    </w:tbl>
    <w:p w14:paraId="3A5E187B">
      <w:r>
        <w:br w:type="page"/>
      </w:r>
    </w:p>
    <w:tbl>
      <w:tblPr>
        <w:tblStyle w:val="10"/>
        <w:tblW w:w="0" w:type="auto"/>
        <w:tblInd w:w="0" w:type="dxa"/>
        <w:tblLayout w:type="autofit"/>
        <w:tblCellMar>
          <w:top w:w="0" w:type="dxa"/>
          <w:left w:w="108" w:type="dxa"/>
          <w:bottom w:w="0" w:type="dxa"/>
          <w:right w:w="108" w:type="dxa"/>
        </w:tblCellMar>
      </w:tblPr>
      <w:tblGrid>
        <w:gridCol w:w="618"/>
        <w:gridCol w:w="596"/>
        <w:gridCol w:w="596"/>
        <w:gridCol w:w="597"/>
        <w:gridCol w:w="856"/>
        <w:gridCol w:w="597"/>
        <w:gridCol w:w="597"/>
        <w:gridCol w:w="608"/>
        <w:gridCol w:w="597"/>
        <w:gridCol w:w="597"/>
        <w:gridCol w:w="776"/>
        <w:gridCol w:w="776"/>
        <w:gridCol w:w="630"/>
        <w:gridCol w:w="619"/>
      </w:tblGrid>
      <w:tr w14:paraId="687F5C44">
        <w:tblPrEx>
          <w:tblCellMar>
            <w:top w:w="0" w:type="dxa"/>
            <w:left w:w="108" w:type="dxa"/>
            <w:bottom w:w="0" w:type="dxa"/>
            <w:right w:w="108" w:type="dxa"/>
          </w:tblCellMar>
        </w:tblPrEx>
        <w:tc>
          <w:tcPr>
            <w:tcW w:w="8848" w:type="dxa"/>
            <w:gridSpan w:val="14"/>
            <w:vAlign w:val="center"/>
          </w:tcPr>
          <w:p w14:paraId="45F67C2C">
            <w:pPr>
              <w:jc w:val="center"/>
            </w:pPr>
            <w:r>
              <w:rPr>
                <w:rFonts w:ascii="宋体" w:hAnsi="宋体" w:eastAsia="宋体"/>
                <w:sz w:val="24"/>
              </w:rPr>
              <w:t>项目支出绩效自评表</w:t>
            </w:r>
          </w:p>
        </w:tc>
      </w:tr>
      <w:tr w14:paraId="318145E9">
        <w:tblPrEx>
          <w:tblCellMar>
            <w:top w:w="0" w:type="dxa"/>
            <w:left w:w="108" w:type="dxa"/>
            <w:bottom w:w="0" w:type="dxa"/>
            <w:right w:w="108" w:type="dxa"/>
          </w:tblCellMar>
        </w:tblPrEx>
        <w:tc>
          <w:tcPr>
            <w:tcW w:w="8848" w:type="dxa"/>
            <w:gridSpan w:val="14"/>
            <w:vAlign w:val="center"/>
          </w:tcPr>
          <w:p w14:paraId="54DCE783">
            <w:pPr>
              <w:jc w:val="center"/>
            </w:pPr>
            <w:r>
              <w:rPr>
                <w:rFonts w:ascii="宋体" w:hAnsi="宋体" w:eastAsia="宋体"/>
                <w:sz w:val="24"/>
              </w:rPr>
              <w:t>(2024年度)</w:t>
            </w:r>
          </w:p>
        </w:tc>
      </w:tr>
      <w:tr w14:paraId="5C824B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6DF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9BE811">
            <w:pPr>
              <w:jc w:val="center"/>
            </w:pPr>
            <w:r>
              <w:rPr>
                <w:rFonts w:ascii="宋体" w:hAnsi="宋体" w:eastAsia="宋体"/>
                <w:sz w:val="16"/>
              </w:rPr>
              <w:t>2024年信息化建设费用及运转资金</w:t>
            </w:r>
          </w:p>
        </w:tc>
      </w:tr>
      <w:tr w14:paraId="283CC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79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9FC06">
            <w:pPr>
              <w:jc w:val="center"/>
            </w:pPr>
            <w:r>
              <w:rPr>
                <w:rFonts w:ascii="宋体" w:hAnsi="宋体" w:eastAsia="宋体"/>
                <w:sz w:val="16"/>
              </w:rPr>
              <w:t>博湖县医疗保障局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62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2315AF">
            <w:pPr>
              <w:jc w:val="center"/>
            </w:pPr>
            <w:r>
              <w:rPr>
                <w:rFonts w:ascii="宋体" w:hAnsi="宋体" w:eastAsia="宋体"/>
                <w:sz w:val="16"/>
              </w:rPr>
              <w:t>博湖县医疗保障局</w:t>
            </w:r>
          </w:p>
        </w:tc>
      </w:tr>
      <w:tr w14:paraId="6BAA1C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C49A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0B2B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6D4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29A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15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B4D4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F7F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6A00B">
            <w:pPr>
              <w:jc w:val="center"/>
            </w:pPr>
            <w:r>
              <w:rPr>
                <w:rFonts w:ascii="宋体" w:hAnsi="宋体" w:eastAsia="宋体"/>
                <w:sz w:val="16"/>
              </w:rPr>
              <w:t>得分</w:t>
            </w:r>
          </w:p>
        </w:tc>
      </w:tr>
      <w:tr w14:paraId="518B5A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CB3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B8C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EC117">
            <w:pPr>
              <w:jc w:val="center"/>
            </w:pPr>
            <w:r>
              <w:rPr>
                <w:rFonts w:ascii="宋体" w:hAnsi="宋体" w:eastAsia="宋体"/>
                <w:sz w:val="16"/>
              </w:rPr>
              <w:t>14.58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3E649">
            <w:pPr>
              <w:jc w:val="center"/>
            </w:pPr>
            <w:r>
              <w:rPr>
                <w:rFonts w:ascii="宋体" w:hAnsi="宋体" w:eastAsia="宋体"/>
                <w:sz w:val="16"/>
              </w:rPr>
              <w:t>14.58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77D17">
            <w:pPr>
              <w:jc w:val="center"/>
            </w:pPr>
            <w:r>
              <w:rPr>
                <w:rFonts w:ascii="宋体" w:hAnsi="宋体" w:eastAsia="宋体"/>
                <w:sz w:val="16"/>
              </w:rPr>
              <w:t>13.81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18B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08206">
            <w:pPr>
              <w:jc w:val="center"/>
            </w:pPr>
            <w:r>
              <w:rPr>
                <w:rFonts w:ascii="宋体" w:hAnsi="宋体" w:eastAsia="宋体"/>
                <w:sz w:val="16"/>
              </w:rPr>
              <w:t>94.72%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5BC1">
            <w:pPr>
              <w:jc w:val="center"/>
            </w:pPr>
            <w:r>
              <w:rPr>
                <w:rFonts w:ascii="宋体" w:hAnsi="宋体" w:eastAsia="宋体"/>
                <w:sz w:val="16"/>
              </w:rPr>
              <w:t>8.68</w:t>
            </w:r>
          </w:p>
        </w:tc>
      </w:tr>
      <w:tr w14:paraId="49AFA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DE7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879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7A696">
            <w:pPr>
              <w:jc w:val="center"/>
            </w:pPr>
            <w:r>
              <w:rPr>
                <w:rFonts w:ascii="宋体" w:hAnsi="宋体" w:eastAsia="宋体"/>
                <w:sz w:val="16"/>
              </w:rPr>
              <w:t>14.58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AA274">
            <w:pPr>
              <w:jc w:val="center"/>
            </w:pPr>
            <w:r>
              <w:rPr>
                <w:rFonts w:ascii="宋体" w:hAnsi="宋体" w:eastAsia="宋体"/>
                <w:sz w:val="16"/>
              </w:rPr>
              <w:t>14.58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24B67">
            <w:pPr>
              <w:jc w:val="center"/>
            </w:pPr>
            <w:r>
              <w:rPr>
                <w:rFonts w:ascii="宋体" w:hAnsi="宋体" w:eastAsia="宋体"/>
                <w:sz w:val="16"/>
              </w:rPr>
              <w:t>13.81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1AE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84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4A278">
            <w:pPr>
              <w:jc w:val="center"/>
            </w:pPr>
            <w:r>
              <w:rPr>
                <w:rFonts w:ascii="宋体" w:hAnsi="宋体" w:eastAsia="宋体"/>
                <w:sz w:val="16"/>
              </w:rPr>
              <w:t>-</w:t>
            </w:r>
          </w:p>
        </w:tc>
      </w:tr>
      <w:tr w14:paraId="3D863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E0F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6EB2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DD4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B65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1DC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69D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142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A4D3">
            <w:pPr>
              <w:jc w:val="center"/>
            </w:pPr>
            <w:r>
              <w:rPr>
                <w:rFonts w:ascii="宋体" w:hAnsi="宋体" w:eastAsia="宋体"/>
                <w:sz w:val="16"/>
              </w:rPr>
              <w:t>-</w:t>
            </w:r>
          </w:p>
        </w:tc>
      </w:tr>
      <w:tr w14:paraId="174827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F7A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CE937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8CC8E7">
            <w:pPr>
              <w:jc w:val="center"/>
            </w:pPr>
            <w:r>
              <w:rPr>
                <w:rFonts w:ascii="宋体" w:hAnsi="宋体" w:eastAsia="宋体"/>
                <w:sz w:val="16"/>
              </w:rPr>
              <w:t>总体目标完成情况</w:t>
            </w:r>
          </w:p>
        </w:tc>
      </w:tr>
      <w:tr w14:paraId="32A515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D68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2E310">
            <w:pPr>
              <w:jc w:val="both"/>
            </w:pPr>
            <w:r>
              <w:rPr>
                <w:rFonts w:ascii="宋体" w:hAnsi="宋体" w:eastAsia="宋体"/>
                <w:sz w:val="16"/>
              </w:rPr>
              <w:t>根据党组会议纪要，通过购置一辆公务用车，房屋建筑物供暖面积347.36㎡，保障办公人员13人，保障单位正常运行，确保在本年度内能够满足机关单位正常公务活动的出行需求，保障各项工作的顺利开展。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BDFF1B">
            <w:pPr>
              <w:jc w:val="both"/>
            </w:pPr>
            <w:r>
              <w:rPr>
                <w:rFonts w:ascii="宋体" w:hAnsi="宋体" w:eastAsia="宋体"/>
                <w:sz w:val="16"/>
              </w:rPr>
              <w:t>2024年已完成购置一辆公务用车、房屋建筑物供暖面积394.28㎡、保障办公人员13人，满足单位正常公务活动的要求，维持工作流程顺畅不中断。</w:t>
            </w:r>
          </w:p>
        </w:tc>
      </w:tr>
      <w:tr w14:paraId="2CDE03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4048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0A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BD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00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6B0D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E86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2FF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DDC9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0C5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F0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1C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2A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87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D6D8">
            <w:pPr>
              <w:jc w:val="center"/>
            </w:pPr>
            <w:r>
              <w:rPr>
                <w:rFonts w:ascii="宋体" w:hAnsi="宋体" w:eastAsia="宋体"/>
                <w:sz w:val="16"/>
              </w:rPr>
              <w:t>偏差原因分析及改进措施</w:t>
            </w:r>
          </w:p>
        </w:tc>
      </w:tr>
      <w:tr w14:paraId="65A530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7447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853E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A24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7DFE">
            <w:pPr>
              <w:jc w:val="center"/>
            </w:pPr>
            <w:r>
              <w:rPr>
                <w:rFonts w:ascii="宋体" w:hAnsi="宋体" w:eastAsia="宋体"/>
                <w:sz w:val="16"/>
              </w:rPr>
              <w:t>购置车辆数量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61E2">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26D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A6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E3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E6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5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539F">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48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28C3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C445">
            <w:pPr>
              <w:jc w:val="center"/>
            </w:pPr>
          </w:p>
        </w:tc>
      </w:tr>
      <w:tr w14:paraId="0257F1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69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FD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1D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5D73">
            <w:pPr>
              <w:jc w:val="center"/>
            </w:pPr>
            <w:r>
              <w:rPr>
                <w:rFonts w:ascii="宋体" w:hAnsi="宋体" w:eastAsia="宋体"/>
                <w:sz w:val="16"/>
              </w:rPr>
              <w:t>房屋建筑物供暖面积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D770">
            <w:pPr>
              <w:jc w:val="center"/>
            </w:pPr>
            <w:r>
              <w:rPr>
                <w:rFonts w:ascii="宋体" w:hAnsi="宋体" w:eastAsia="宋体"/>
                <w:sz w:val="16"/>
              </w:rPr>
              <w:t>&gt;=347.36平方米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4B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6C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7F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4A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57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E6B97">
            <w:pPr>
              <w:jc w:val="center"/>
            </w:pPr>
            <w:r>
              <w:rPr>
                <w:rFonts w:ascii="宋体" w:hAnsi="宋体" w:eastAsia="宋体"/>
                <w:sz w:val="16"/>
              </w:rPr>
              <w:t>=394.28平方米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AD09">
            <w:pPr>
              <w:jc w:val="center"/>
            </w:pPr>
            <w:r>
              <w:rPr>
                <w:rFonts w:ascii="宋体" w:hAnsi="宋体" w:eastAsia="宋体"/>
                <w:sz w:val="16"/>
              </w:rPr>
              <w:t>113.51%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352B">
            <w:pPr>
              <w:jc w:val="center"/>
            </w:pPr>
            <w:r>
              <w:rPr>
                <w:rFonts w:ascii="宋体" w:hAnsi="宋体" w:eastAsia="宋体"/>
                <w:sz w:val="16"/>
              </w:rPr>
              <w:t>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F72B">
            <w:pPr>
              <w:jc w:val="center"/>
            </w:pPr>
            <w:r>
              <w:rPr>
                <w:rFonts w:ascii="宋体" w:hAnsi="宋体" w:eastAsia="宋体"/>
                <w:sz w:val="16"/>
              </w:rPr>
              <w:t>偏差原因：因年中更换会议室，房屋建筑物供暖面积增加。改进措施：从严从高设置项目绩效指标。</w:t>
            </w:r>
          </w:p>
        </w:tc>
      </w:tr>
      <w:tr w14:paraId="2626D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176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08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B78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D0F5">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D82F">
            <w:pPr>
              <w:jc w:val="center"/>
            </w:pPr>
            <w:r>
              <w:rPr>
                <w:rFonts w:ascii="宋体" w:hAnsi="宋体" w:eastAsia="宋体"/>
                <w:sz w:val="16"/>
              </w:rPr>
              <w:t>&gt;=13人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08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D1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CAB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41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5F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64CA5">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A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B4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7105">
            <w:pPr>
              <w:jc w:val="center"/>
            </w:pPr>
          </w:p>
        </w:tc>
      </w:tr>
      <w:tr w14:paraId="18392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70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512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A5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BCEE">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DC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31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E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0B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81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5B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6D6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4A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07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093A">
            <w:pPr>
              <w:jc w:val="center"/>
            </w:pPr>
            <w:r>
              <w:rPr>
                <w:rFonts w:ascii="宋体" w:hAnsi="宋体" w:eastAsia="宋体"/>
                <w:sz w:val="16"/>
              </w:rPr>
              <w:t>偏差原因：因本地没有现货需从内地调货，车辆没有验收。改进措施：加强沟通，车辆到货后尽快完成车辆验收。</w:t>
            </w:r>
          </w:p>
        </w:tc>
      </w:tr>
      <w:tr w14:paraId="7EE68C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B5D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C6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674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5B58">
            <w:pPr>
              <w:jc w:val="center"/>
            </w:pPr>
            <w:r>
              <w:rPr>
                <w:rFonts w:ascii="宋体" w:hAnsi="宋体" w:eastAsia="宋体"/>
                <w:sz w:val="16"/>
              </w:rPr>
              <w:t>车辆采购完成时间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04E7">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D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DE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3E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AF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4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F006">
            <w:pPr>
              <w:jc w:val="center"/>
            </w:pPr>
            <w:r>
              <w:rPr>
                <w:rFonts w:ascii="宋体" w:hAnsi="宋体" w:eastAsia="宋体"/>
                <w:sz w:val="16"/>
              </w:rPr>
              <w:t>2024年12月26日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F4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1A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B737">
            <w:pPr>
              <w:jc w:val="center"/>
            </w:pPr>
          </w:p>
        </w:tc>
      </w:tr>
      <w:tr w14:paraId="0950FF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9D6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FB8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AFF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030E">
            <w:pPr>
              <w:jc w:val="center"/>
            </w:pPr>
            <w:r>
              <w:rPr>
                <w:rFonts w:ascii="宋体" w:hAnsi="宋体" w:eastAsia="宋体"/>
                <w:sz w:val="16"/>
              </w:rPr>
              <w:t>车辆采购成本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F279">
            <w:pPr>
              <w:jc w:val="center"/>
            </w:pPr>
            <w:r>
              <w:rPr>
                <w:rFonts w:ascii="宋体" w:hAnsi="宋体" w:eastAsia="宋体"/>
                <w:sz w:val="16"/>
              </w:rPr>
              <w:t>&lt;=12.14万元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BD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F8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50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A2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AE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0F5D">
            <w:pPr>
              <w:jc w:val="center"/>
            </w:pPr>
            <w:r>
              <w:rPr>
                <w:rFonts w:ascii="宋体" w:hAnsi="宋体" w:eastAsia="宋体"/>
                <w:sz w:val="16"/>
              </w:rPr>
              <w:t>=11.98万元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2BDD">
            <w:pPr>
              <w:jc w:val="center"/>
            </w:pPr>
            <w:r>
              <w:rPr>
                <w:rFonts w:ascii="宋体" w:hAnsi="宋体" w:eastAsia="宋体"/>
                <w:sz w:val="16"/>
              </w:rPr>
              <w:t>98.68%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E1E7">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FF20">
            <w:pPr>
              <w:jc w:val="center"/>
            </w:pPr>
            <w:r>
              <w:rPr>
                <w:rFonts w:ascii="宋体" w:hAnsi="宋体" w:eastAsia="宋体"/>
                <w:sz w:val="16"/>
              </w:rPr>
              <w:t>偏差原因：采购询价按照市场价预估成本，实际采购时成本降低。改进措施：加强预算执行工作的约束，细化预算工作，做好项目实施管理与资金使用的匹配，提高资金使用效率。</w:t>
            </w:r>
          </w:p>
        </w:tc>
      </w:tr>
      <w:tr w14:paraId="70137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33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386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A0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EC35">
            <w:pPr>
              <w:jc w:val="center"/>
            </w:pPr>
            <w:r>
              <w:rPr>
                <w:rFonts w:ascii="宋体" w:hAnsi="宋体" w:eastAsia="宋体"/>
                <w:sz w:val="16"/>
              </w:rPr>
              <w:t>人均运转经费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B38D">
            <w:pPr>
              <w:jc w:val="center"/>
            </w:pPr>
            <w:r>
              <w:rPr>
                <w:rFonts w:ascii="宋体" w:hAnsi="宋体" w:eastAsia="宋体"/>
                <w:sz w:val="16"/>
              </w:rPr>
              <w:t>&lt;=0.18万元/人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96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5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E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CF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92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B1EE">
            <w:pPr>
              <w:jc w:val="center"/>
            </w:pPr>
            <w:r>
              <w:rPr>
                <w:rFonts w:ascii="宋体" w:hAnsi="宋体" w:eastAsia="宋体"/>
                <w:sz w:val="16"/>
              </w:rPr>
              <w:t>=0.14万元/人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2A8B">
            <w:pPr>
              <w:jc w:val="center"/>
            </w:pPr>
            <w:r>
              <w:rPr>
                <w:rFonts w:ascii="宋体" w:hAnsi="宋体" w:eastAsia="宋体"/>
                <w:sz w:val="16"/>
              </w:rPr>
              <w:t>77.78%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8492">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D9BE">
            <w:pPr>
              <w:jc w:val="center"/>
            </w:pPr>
            <w:r>
              <w:rPr>
                <w:rFonts w:ascii="宋体" w:hAnsi="宋体" w:eastAsia="宋体"/>
                <w:sz w:val="16"/>
              </w:rPr>
              <w:t>偏差原因：因手续未提供，资金未完成支付。改进措施：积极对接，完成资金支付。</w:t>
            </w:r>
          </w:p>
        </w:tc>
      </w:tr>
      <w:tr w14:paraId="05D4CC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F30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61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C59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9618">
            <w:pPr>
              <w:jc w:val="center"/>
            </w:pPr>
            <w:r>
              <w:rPr>
                <w:rFonts w:ascii="宋体" w:hAnsi="宋体" w:eastAsia="宋体"/>
                <w:sz w:val="16"/>
              </w:rPr>
              <w:t>保障单位正常运行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5D7E">
            <w:pPr>
              <w:jc w:val="center"/>
            </w:pPr>
            <w:r>
              <w:rPr>
                <w:rFonts w:ascii="宋体" w:hAnsi="宋体" w:eastAsia="宋体"/>
                <w:sz w:val="16"/>
              </w:rPr>
              <w:t>基本保障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5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D3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8FF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7C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B98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53F41">
            <w:pPr>
              <w:jc w:val="center"/>
            </w:pPr>
            <w:r>
              <w:rPr>
                <w:rFonts w:ascii="宋体" w:hAnsi="宋体" w:eastAsia="宋体"/>
                <w:sz w:val="16"/>
              </w:rPr>
              <w:t>基本保障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95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D49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C0B4">
            <w:pPr>
              <w:jc w:val="center"/>
            </w:pPr>
          </w:p>
        </w:tc>
      </w:tr>
      <w:tr w14:paraId="23E1017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F2A6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90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19A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F79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1A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058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E37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FD7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25F9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F068">
            <w:pPr>
              <w:jc w:val="center"/>
            </w:pPr>
            <w:r>
              <w:rPr>
                <w:rFonts w:ascii="宋体" w:hAnsi="宋体" w:eastAsia="宋体"/>
                <w:sz w:val="16"/>
              </w:rPr>
              <w:t>83.92分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D60E1"/>
        </w:tc>
      </w:tr>
    </w:tbl>
    <w:p w14:paraId="0865765B">
      <w:r>
        <w:br w:type="page"/>
      </w:r>
    </w:p>
    <w:tbl>
      <w:tblPr>
        <w:tblStyle w:val="10"/>
        <w:tblW w:w="0" w:type="auto"/>
        <w:tblInd w:w="0" w:type="dxa"/>
        <w:tblLayout w:type="autofit"/>
        <w:tblCellMar>
          <w:top w:w="0" w:type="dxa"/>
          <w:left w:w="108" w:type="dxa"/>
          <w:bottom w:w="0" w:type="dxa"/>
          <w:right w:w="108" w:type="dxa"/>
        </w:tblCellMar>
      </w:tblPr>
      <w:tblGrid>
        <w:gridCol w:w="617"/>
        <w:gridCol w:w="592"/>
        <w:gridCol w:w="592"/>
        <w:gridCol w:w="592"/>
        <w:gridCol w:w="776"/>
        <w:gridCol w:w="592"/>
        <w:gridCol w:w="696"/>
        <w:gridCol w:w="605"/>
        <w:gridCol w:w="592"/>
        <w:gridCol w:w="592"/>
        <w:gridCol w:w="776"/>
        <w:gridCol w:w="776"/>
        <w:gridCol w:w="631"/>
        <w:gridCol w:w="631"/>
      </w:tblGrid>
      <w:tr w14:paraId="1B3FAF24">
        <w:tblPrEx>
          <w:tblCellMar>
            <w:top w:w="0" w:type="dxa"/>
            <w:left w:w="108" w:type="dxa"/>
            <w:bottom w:w="0" w:type="dxa"/>
            <w:right w:w="108" w:type="dxa"/>
          </w:tblCellMar>
        </w:tblPrEx>
        <w:tc>
          <w:tcPr>
            <w:tcW w:w="8848" w:type="dxa"/>
            <w:gridSpan w:val="14"/>
            <w:vAlign w:val="center"/>
          </w:tcPr>
          <w:p w14:paraId="731BD1EB">
            <w:pPr>
              <w:jc w:val="center"/>
            </w:pPr>
            <w:r>
              <w:rPr>
                <w:rFonts w:ascii="宋体" w:hAnsi="宋体" w:eastAsia="宋体"/>
                <w:sz w:val="24"/>
              </w:rPr>
              <w:t>项目支出绩效自评表</w:t>
            </w:r>
          </w:p>
        </w:tc>
      </w:tr>
      <w:tr w14:paraId="56DDD703">
        <w:tblPrEx>
          <w:tblCellMar>
            <w:top w:w="0" w:type="dxa"/>
            <w:left w:w="108" w:type="dxa"/>
            <w:bottom w:w="0" w:type="dxa"/>
            <w:right w:w="108" w:type="dxa"/>
          </w:tblCellMar>
        </w:tblPrEx>
        <w:tc>
          <w:tcPr>
            <w:tcW w:w="8848" w:type="dxa"/>
            <w:gridSpan w:val="14"/>
            <w:vAlign w:val="center"/>
          </w:tcPr>
          <w:p w14:paraId="61120500">
            <w:pPr>
              <w:jc w:val="center"/>
            </w:pPr>
            <w:r>
              <w:rPr>
                <w:rFonts w:ascii="宋体" w:hAnsi="宋体" w:eastAsia="宋体"/>
                <w:sz w:val="24"/>
              </w:rPr>
              <w:t>(2024年度)</w:t>
            </w:r>
          </w:p>
        </w:tc>
      </w:tr>
      <w:tr w14:paraId="4A05FF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48F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2064C7">
            <w:pPr>
              <w:jc w:val="center"/>
            </w:pPr>
            <w:r>
              <w:rPr>
                <w:rFonts w:ascii="宋体" w:hAnsi="宋体" w:eastAsia="宋体"/>
                <w:sz w:val="16"/>
              </w:rPr>
              <w:t>2024年城乡居民基本医疗保险县级财政补助经费</w:t>
            </w:r>
          </w:p>
        </w:tc>
      </w:tr>
      <w:tr w14:paraId="7386CF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D00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8887CE">
            <w:pPr>
              <w:jc w:val="center"/>
            </w:pPr>
            <w:r>
              <w:rPr>
                <w:rFonts w:ascii="宋体" w:hAnsi="宋体" w:eastAsia="宋体"/>
                <w:sz w:val="16"/>
              </w:rPr>
              <w:t>博湖县医疗保障局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94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8060F2">
            <w:pPr>
              <w:jc w:val="center"/>
            </w:pPr>
            <w:r>
              <w:rPr>
                <w:rFonts w:ascii="宋体" w:hAnsi="宋体" w:eastAsia="宋体"/>
                <w:sz w:val="16"/>
              </w:rPr>
              <w:t>博湖县医疗保障局</w:t>
            </w:r>
          </w:p>
        </w:tc>
      </w:tr>
      <w:tr w14:paraId="5B7EFA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05C4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9E4F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CCD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75A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A5A0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F8D3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C9B6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1BD0">
            <w:pPr>
              <w:jc w:val="center"/>
            </w:pPr>
            <w:r>
              <w:rPr>
                <w:rFonts w:ascii="宋体" w:hAnsi="宋体" w:eastAsia="宋体"/>
                <w:sz w:val="16"/>
              </w:rPr>
              <w:t>得分</w:t>
            </w:r>
          </w:p>
        </w:tc>
      </w:tr>
      <w:tr w14:paraId="3105E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98C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C7F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69704">
            <w:pPr>
              <w:jc w:val="center"/>
            </w:pPr>
            <w:r>
              <w:rPr>
                <w:rFonts w:ascii="宋体" w:hAnsi="宋体" w:eastAsia="宋体"/>
                <w:sz w:val="16"/>
              </w:rPr>
              <w:t>637.20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7E2F5">
            <w:pPr>
              <w:jc w:val="center"/>
            </w:pPr>
            <w:r>
              <w:rPr>
                <w:rFonts w:ascii="宋体" w:hAnsi="宋体" w:eastAsia="宋体"/>
                <w:sz w:val="16"/>
              </w:rPr>
              <w:t>638.95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9876C">
            <w:pPr>
              <w:jc w:val="center"/>
            </w:pPr>
            <w:r>
              <w:rPr>
                <w:rFonts w:ascii="宋体" w:hAnsi="宋体" w:eastAsia="宋体"/>
                <w:sz w:val="16"/>
              </w:rPr>
              <w:t>638.95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3BA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BE7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282AD">
            <w:pPr>
              <w:jc w:val="center"/>
            </w:pPr>
            <w:r>
              <w:rPr>
                <w:rFonts w:ascii="宋体" w:hAnsi="宋体" w:eastAsia="宋体"/>
                <w:sz w:val="16"/>
              </w:rPr>
              <w:t>10.00</w:t>
            </w:r>
          </w:p>
        </w:tc>
      </w:tr>
      <w:tr w14:paraId="4826A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DA5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4A4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3691A">
            <w:pPr>
              <w:jc w:val="center"/>
            </w:pPr>
            <w:r>
              <w:rPr>
                <w:rFonts w:ascii="宋体" w:hAnsi="宋体" w:eastAsia="宋体"/>
                <w:sz w:val="16"/>
              </w:rPr>
              <w:t>637.20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03C80">
            <w:pPr>
              <w:jc w:val="center"/>
            </w:pPr>
            <w:r>
              <w:rPr>
                <w:rFonts w:ascii="宋体" w:hAnsi="宋体" w:eastAsia="宋体"/>
                <w:sz w:val="16"/>
              </w:rPr>
              <w:t>638.95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C7655">
            <w:pPr>
              <w:jc w:val="center"/>
            </w:pPr>
            <w:r>
              <w:rPr>
                <w:rFonts w:ascii="宋体" w:hAnsi="宋体" w:eastAsia="宋体"/>
                <w:sz w:val="16"/>
              </w:rPr>
              <w:t>638.95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1B8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BBB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2DCB">
            <w:pPr>
              <w:jc w:val="center"/>
            </w:pPr>
            <w:r>
              <w:rPr>
                <w:rFonts w:ascii="宋体" w:hAnsi="宋体" w:eastAsia="宋体"/>
                <w:sz w:val="16"/>
              </w:rPr>
              <w:t>-</w:t>
            </w:r>
          </w:p>
        </w:tc>
      </w:tr>
      <w:tr w14:paraId="52315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8F5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AF22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7B0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CCF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47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D46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BB2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C860E">
            <w:pPr>
              <w:jc w:val="center"/>
            </w:pPr>
            <w:r>
              <w:rPr>
                <w:rFonts w:ascii="宋体" w:hAnsi="宋体" w:eastAsia="宋体"/>
                <w:sz w:val="16"/>
              </w:rPr>
              <w:t>-</w:t>
            </w:r>
          </w:p>
        </w:tc>
      </w:tr>
      <w:tr w14:paraId="4FED91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7821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7394E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B4A2FD">
            <w:pPr>
              <w:jc w:val="center"/>
            </w:pPr>
            <w:r>
              <w:rPr>
                <w:rFonts w:ascii="宋体" w:hAnsi="宋体" w:eastAsia="宋体"/>
                <w:sz w:val="16"/>
              </w:rPr>
              <w:t>总体目标完成情况</w:t>
            </w:r>
          </w:p>
        </w:tc>
      </w:tr>
      <w:tr w14:paraId="75132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B50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606832">
            <w:pPr>
              <w:jc w:val="both"/>
            </w:pPr>
            <w:r>
              <w:rPr>
                <w:rFonts w:ascii="宋体" w:hAnsi="宋体" w:eastAsia="宋体"/>
                <w:sz w:val="16"/>
              </w:rPr>
              <w:t>为缴纳城乡居民基本医疗保险的居民给予财政补助，每人每年180元的补助标准，补助覆盖率达到100%，保障城乡居民基本医疗待遇，减轻城乡居民患者就医经济负担。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3E0D30">
            <w:pPr>
              <w:jc w:val="both"/>
            </w:pPr>
            <w:r>
              <w:rPr>
                <w:rFonts w:ascii="宋体" w:hAnsi="宋体" w:eastAsia="宋体"/>
                <w:sz w:val="16"/>
              </w:rPr>
              <w:t>截至12月底，已按照城乡居民基本医疗保险参保缴费人数35497人上解资金至州财政局，已完成2024年1</w:t>
            </w:r>
            <w:r>
              <w:rPr>
                <w:rFonts w:hint="eastAsia" w:ascii="宋体" w:hAnsi="宋体"/>
                <w:sz w:val="16"/>
                <w:lang w:eastAsia="zh-CN"/>
              </w:rPr>
              <w:t>—</w:t>
            </w:r>
            <w:r>
              <w:rPr>
                <w:rFonts w:ascii="宋体" w:hAnsi="宋体" w:eastAsia="宋体"/>
                <w:sz w:val="16"/>
              </w:rPr>
              <w:t>12月的医疗保险待遇支付工作，保障了参保人员医疗待遇，及时减轻了患者就医经济负担。</w:t>
            </w:r>
          </w:p>
        </w:tc>
      </w:tr>
      <w:tr w14:paraId="7D5578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671D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C7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54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3F0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6D3A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43D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226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8BF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C76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10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216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DB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4BF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5EA9">
            <w:pPr>
              <w:jc w:val="center"/>
            </w:pPr>
            <w:r>
              <w:rPr>
                <w:rFonts w:ascii="宋体" w:hAnsi="宋体" w:eastAsia="宋体"/>
                <w:sz w:val="16"/>
              </w:rPr>
              <w:t>偏差原因分析及改进措施</w:t>
            </w:r>
          </w:p>
        </w:tc>
      </w:tr>
      <w:tr w14:paraId="7520F3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4B2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1FA5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9A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2A77">
            <w:pPr>
              <w:jc w:val="center"/>
            </w:pPr>
            <w:r>
              <w:rPr>
                <w:rFonts w:ascii="宋体" w:hAnsi="宋体" w:eastAsia="宋体"/>
                <w:sz w:val="16"/>
              </w:rPr>
              <w:t>城乡居民参保补助人数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0A1A">
            <w:pPr>
              <w:jc w:val="center"/>
            </w:pPr>
            <w:bookmarkStart w:id="0" w:name="_GoBack"/>
            <w:r>
              <w:rPr>
                <w:rFonts w:ascii="宋体" w:hAnsi="宋体" w:eastAsia="宋体"/>
                <w:sz w:val="16"/>
              </w:rPr>
              <w:t>&gt;</w:t>
            </w:r>
            <w:bookmarkEnd w:id="0"/>
            <w:r>
              <w:rPr>
                <w:rFonts w:ascii="宋体" w:hAnsi="宋体" w:eastAsia="宋体"/>
                <w:sz w:val="16"/>
              </w:rPr>
              <w:t>=35497人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AF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8782">
            <w:pPr>
              <w:jc w:val="center"/>
            </w:pPr>
            <w:r>
              <w:rPr>
                <w:rFonts w:ascii="宋体" w:hAnsi="宋体" w:eastAsia="宋体"/>
                <w:sz w:val="16"/>
              </w:rPr>
              <w:t>3.53万人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55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69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18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F96F7">
            <w:pPr>
              <w:jc w:val="center"/>
            </w:pPr>
            <w:r>
              <w:rPr>
                <w:rFonts w:ascii="宋体" w:hAnsi="宋体" w:eastAsia="宋体"/>
                <w:sz w:val="16"/>
              </w:rPr>
              <w:t>=35497人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A2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DF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CD51">
            <w:pPr>
              <w:jc w:val="center"/>
            </w:pPr>
            <w:r>
              <w:rPr>
                <w:rFonts w:ascii="宋体" w:hAnsi="宋体" w:eastAsia="宋体"/>
                <w:sz w:val="16"/>
              </w:rPr>
              <w:t>偏差原因：本年城乡居民参保人数较往年有所下降，外出务工人员增加，城乡居民基本医疗保险转职工医疗保险人数较往年也有所增加。改进措施：加强城乡居民基本医疗保险政策的宣传力度，分时分段做好城乡居民参保缴费工作。</w:t>
            </w:r>
          </w:p>
        </w:tc>
      </w:tr>
      <w:tr w14:paraId="02C33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AE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A8E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977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726F">
            <w:pPr>
              <w:jc w:val="center"/>
            </w:pPr>
            <w:r>
              <w:rPr>
                <w:rFonts w:ascii="宋体" w:hAnsi="宋体" w:eastAsia="宋体"/>
                <w:sz w:val="16"/>
              </w:rPr>
              <w:t>补助资金使用准确率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8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91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2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66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21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63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AB6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AC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3A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CD63">
            <w:pPr>
              <w:jc w:val="center"/>
            </w:pPr>
          </w:p>
        </w:tc>
      </w:tr>
      <w:tr w14:paraId="6DA47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BAC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075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CE3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16F9">
            <w:pPr>
              <w:jc w:val="center"/>
            </w:pPr>
            <w:r>
              <w:rPr>
                <w:rFonts w:ascii="宋体" w:hAnsi="宋体" w:eastAsia="宋体"/>
                <w:sz w:val="16"/>
              </w:rPr>
              <w:t>城乡居民参保补助覆盖率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66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B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B6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0E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D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E5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D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3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E6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6545">
            <w:pPr>
              <w:jc w:val="center"/>
            </w:pPr>
          </w:p>
        </w:tc>
      </w:tr>
      <w:tr w14:paraId="494CC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12C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6F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E24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A7A6">
            <w:pPr>
              <w:jc w:val="center"/>
            </w:pPr>
            <w:r>
              <w:rPr>
                <w:rFonts w:ascii="宋体" w:hAnsi="宋体" w:eastAsia="宋体"/>
                <w:sz w:val="16"/>
              </w:rPr>
              <w:t>医保报销结算及时率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16C9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94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4A88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87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FB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2D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B4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AC43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03ACF">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BE15">
            <w:pPr>
              <w:jc w:val="center"/>
            </w:pPr>
            <w:r>
              <w:rPr>
                <w:rFonts w:ascii="宋体" w:hAnsi="宋体" w:eastAsia="宋体"/>
                <w:sz w:val="16"/>
              </w:rPr>
              <w:t>偏差原因：按照医保报销政策的要求及工作方式的改进，本年度医保报销结算采用一站式结算方式，导致医保报销结算更加及时有效。改进措施：从严从高设置项目绩效指标。</w:t>
            </w:r>
          </w:p>
        </w:tc>
      </w:tr>
      <w:tr w14:paraId="7A6BE7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A52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608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3A9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A825">
            <w:pPr>
              <w:jc w:val="center"/>
            </w:pPr>
            <w:r>
              <w:rPr>
                <w:rFonts w:ascii="宋体" w:hAnsi="宋体" w:eastAsia="宋体"/>
                <w:sz w:val="16"/>
              </w:rPr>
              <w:t>城乡居民基本医疗保险县级财政人均补助标准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3277">
            <w:pPr>
              <w:jc w:val="center"/>
            </w:pPr>
            <w:r>
              <w:rPr>
                <w:rFonts w:ascii="宋体" w:hAnsi="宋体" w:eastAsia="宋体"/>
                <w:sz w:val="16"/>
              </w:rPr>
              <w:t>=180元/人·年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4F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C8417">
            <w:pPr>
              <w:jc w:val="center"/>
            </w:pPr>
            <w:r>
              <w:rPr>
                <w:rFonts w:ascii="宋体" w:hAnsi="宋体" w:eastAsia="宋体"/>
                <w:sz w:val="16"/>
              </w:rPr>
              <w:t>180元/人·年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1A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05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652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0164">
            <w:pPr>
              <w:jc w:val="center"/>
            </w:pPr>
            <w:r>
              <w:rPr>
                <w:rFonts w:ascii="宋体" w:hAnsi="宋体" w:eastAsia="宋体"/>
                <w:sz w:val="16"/>
              </w:rPr>
              <w:t>=180元/人·年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9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D0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86BC">
            <w:pPr>
              <w:jc w:val="center"/>
            </w:pPr>
          </w:p>
        </w:tc>
      </w:tr>
      <w:tr w14:paraId="38BF42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F6D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DF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80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BE62">
            <w:pPr>
              <w:jc w:val="center"/>
            </w:pPr>
            <w:r>
              <w:rPr>
                <w:rFonts w:ascii="宋体" w:hAnsi="宋体" w:eastAsia="宋体"/>
                <w:sz w:val="16"/>
              </w:rPr>
              <w:t>减轻城乡居民患者医疗费用负担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F764">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0F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03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36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30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87E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5C72">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57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17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63729">
            <w:pPr>
              <w:jc w:val="center"/>
            </w:pPr>
            <w:r>
              <w:rPr>
                <w:rFonts w:ascii="宋体" w:hAnsi="宋体" w:eastAsia="宋体"/>
                <w:sz w:val="16"/>
              </w:rPr>
              <w:t>本年度医疗保险报销政策有所变动，报销比例及大病报销范围增大，更好</w:t>
            </w:r>
            <w:r>
              <w:rPr>
                <w:rFonts w:hint="eastAsia" w:ascii="宋体" w:hAnsi="宋体"/>
                <w:sz w:val="16"/>
                <w:lang w:eastAsia="zh-CN"/>
              </w:rPr>
              <w:t>地</w:t>
            </w:r>
            <w:r>
              <w:rPr>
                <w:rFonts w:ascii="宋体" w:hAnsi="宋体" w:eastAsia="宋体"/>
                <w:sz w:val="16"/>
              </w:rPr>
              <w:t>减轻了参保人员的就医经济负担</w:t>
            </w:r>
          </w:p>
        </w:tc>
      </w:tr>
      <w:tr w14:paraId="6DA29D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01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07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67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9D1F">
            <w:pPr>
              <w:jc w:val="center"/>
            </w:pPr>
            <w:r>
              <w:rPr>
                <w:rFonts w:ascii="宋体" w:hAnsi="宋体" w:eastAsia="宋体"/>
                <w:sz w:val="16"/>
              </w:rPr>
              <w:t>参保补助对象满意度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425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35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01E5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0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AFD9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8C0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3238">
            <w:pPr>
              <w:jc w:val="center"/>
            </w:pPr>
            <w:r>
              <w:rPr>
                <w:rFonts w:ascii="宋体" w:hAnsi="宋体" w:eastAsia="宋体"/>
                <w:sz w:val="16"/>
              </w:rPr>
              <w:t>=96.47%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425C">
            <w:pPr>
              <w:jc w:val="center"/>
            </w:pPr>
            <w:r>
              <w:rPr>
                <w:rFonts w:ascii="宋体" w:hAnsi="宋体" w:eastAsia="宋体"/>
                <w:sz w:val="16"/>
              </w:rPr>
              <w:t>101.55%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DE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61A4B">
            <w:pPr>
              <w:jc w:val="center"/>
            </w:pPr>
            <w:r>
              <w:rPr>
                <w:rFonts w:ascii="宋体" w:hAnsi="宋体" w:eastAsia="宋体"/>
                <w:sz w:val="16"/>
              </w:rPr>
              <w:t>偏差原因：本年度医保政策变动，参保补助对象在参保缴费、医疗费用报销方面大家的认可度有所提升。改进措施：从严从高设置项目绩效目标。</w:t>
            </w:r>
          </w:p>
        </w:tc>
      </w:tr>
      <w:tr w14:paraId="63DB52C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1894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4E4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BE0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80D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5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BEA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8D5B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27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CBD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82A3">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1BBC3"/>
        </w:tc>
      </w:tr>
    </w:tbl>
    <w:p w14:paraId="687BCFEA">
      <w:r>
        <w:br w:type="page"/>
      </w:r>
    </w:p>
    <w:tbl>
      <w:tblPr>
        <w:tblStyle w:val="10"/>
        <w:tblW w:w="0" w:type="auto"/>
        <w:tblInd w:w="0" w:type="dxa"/>
        <w:tblLayout w:type="autofit"/>
        <w:tblCellMar>
          <w:top w:w="0" w:type="dxa"/>
          <w:left w:w="108" w:type="dxa"/>
          <w:bottom w:w="0" w:type="dxa"/>
          <w:right w:w="108" w:type="dxa"/>
        </w:tblCellMar>
      </w:tblPr>
      <w:tblGrid>
        <w:gridCol w:w="625"/>
        <w:gridCol w:w="615"/>
        <w:gridCol w:w="615"/>
        <w:gridCol w:w="615"/>
        <w:gridCol w:w="696"/>
        <w:gridCol w:w="615"/>
        <w:gridCol w:w="615"/>
        <w:gridCol w:w="620"/>
        <w:gridCol w:w="615"/>
        <w:gridCol w:w="615"/>
        <w:gridCol w:w="776"/>
        <w:gridCol w:w="776"/>
        <w:gridCol w:w="631"/>
        <w:gridCol w:w="631"/>
      </w:tblGrid>
      <w:tr w14:paraId="6DF2DD66">
        <w:tblPrEx>
          <w:tblCellMar>
            <w:top w:w="0" w:type="dxa"/>
            <w:left w:w="108" w:type="dxa"/>
            <w:bottom w:w="0" w:type="dxa"/>
            <w:right w:w="108" w:type="dxa"/>
          </w:tblCellMar>
        </w:tblPrEx>
        <w:tc>
          <w:tcPr>
            <w:tcW w:w="8848" w:type="dxa"/>
            <w:gridSpan w:val="14"/>
            <w:vAlign w:val="center"/>
          </w:tcPr>
          <w:p w14:paraId="0240BFBE">
            <w:pPr>
              <w:jc w:val="center"/>
            </w:pPr>
            <w:r>
              <w:rPr>
                <w:rFonts w:ascii="宋体" w:hAnsi="宋体" w:eastAsia="宋体"/>
                <w:sz w:val="24"/>
              </w:rPr>
              <w:t>项目支出绩效自评表</w:t>
            </w:r>
          </w:p>
        </w:tc>
      </w:tr>
      <w:tr w14:paraId="67D53048">
        <w:tblPrEx>
          <w:tblCellMar>
            <w:top w:w="0" w:type="dxa"/>
            <w:left w:w="108" w:type="dxa"/>
            <w:bottom w:w="0" w:type="dxa"/>
            <w:right w:w="108" w:type="dxa"/>
          </w:tblCellMar>
        </w:tblPrEx>
        <w:tc>
          <w:tcPr>
            <w:tcW w:w="8848" w:type="dxa"/>
            <w:gridSpan w:val="14"/>
            <w:vAlign w:val="center"/>
          </w:tcPr>
          <w:p w14:paraId="19AF0642">
            <w:pPr>
              <w:jc w:val="center"/>
            </w:pPr>
            <w:r>
              <w:rPr>
                <w:rFonts w:ascii="宋体" w:hAnsi="宋体" w:eastAsia="宋体"/>
                <w:sz w:val="24"/>
              </w:rPr>
              <w:t>(2024年度)</w:t>
            </w:r>
          </w:p>
        </w:tc>
      </w:tr>
      <w:tr w14:paraId="3738C2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EE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3CDA1F">
            <w:pPr>
              <w:jc w:val="center"/>
            </w:pPr>
            <w:r>
              <w:rPr>
                <w:rFonts w:ascii="宋体" w:hAnsi="宋体" w:eastAsia="宋体"/>
                <w:sz w:val="16"/>
              </w:rPr>
              <w:t>2024年自治区人身意外伤害保险财政补助资金</w:t>
            </w:r>
          </w:p>
        </w:tc>
      </w:tr>
      <w:tr w14:paraId="681742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61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A313C2">
            <w:pPr>
              <w:jc w:val="center"/>
            </w:pPr>
            <w:r>
              <w:rPr>
                <w:rFonts w:ascii="宋体" w:hAnsi="宋体" w:eastAsia="宋体"/>
                <w:sz w:val="16"/>
              </w:rPr>
              <w:t>博湖县医疗保障局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E6D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E89FE8">
            <w:pPr>
              <w:jc w:val="center"/>
            </w:pPr>
            <w:r>
              <w:rPr>
                <w:rFonts w:ascii="宋体" w:hAnsi="宋体" w:eastAsia="宋体"/>
                <w:sz w:val="16"/>
              </w:rPr>
              <w:t>博湖县医疗保障局</w:t>
            </w:r>
          </w:p>
        </w:tc>
      </w:tr>
      <w:tr w14:paraId="54A51D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DF80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301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AF7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77E5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375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A6AD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21B0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D11B">
            <w:pPr>
              <w:jc w:val="center"/>
            </w:pPr>
            <w:r>
              <w:rPr>
                <w:rFonts w:ascii="宋体" w:hAnsi="宋体" w:eastAsia="宋体"/>
                <w:sz w:val="16"/>
              </w:rPr>
              <w:t>得分</w:t>
            </w:r>
          </w:p>
        </w:tc>
      </w:tr>
      <w:tr w14:paraId="5C520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40E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5EE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2F3CE">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3189">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83D11">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ACA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F480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86DD">
            <w:pPr>
              <w:jc w:val="center"/>
            </w:pPr>
            <w:r>
              <w:rPr>
                <w:rFonts w:ascii="宋体" w:hAnsi="宋体" w:eastAsia="宋体"/>
                <w:sz w:val="16"/>
              </w:rPr>
              <w:t>10.00</w:t>
            </w:r>
          </w:p>
        </w:tc>
      </w:tr>
      <w:tr w14:paraId="13D78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579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D0A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70D0C">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3352C">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1EF08">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B1B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D31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9CCC">
            <w:pPr>
              <w:jc w:val="center"/>
            </w:pPr>
            <w:r>
              <w:rPr>
                <w:rFonts w:ascii="宋体" w:hAnsi="宋体" w:eastAsia="宋体"/>
                <w:sz w:val="16"/>
              </w:rPr>
              <w:t>-</w:t>
            </w:r>
          </w:p>
        </w:tc>
      </w:tr>
      <w:tr w14:paraId="2A54D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B2B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E19F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43D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58A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02C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F8F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AB7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60C1">
            <w:pPr>
              <w:jc w:val="center"/>
            </w:pPr>
            <w:r>
              <w:rPr>
                <w:rFonts w:ascii="宋体" w:hAnsi="宋体" w:eastAsia="宋体"/>
                <w:sz w:val="16"/>
              </w:rPr>
              <w:t>-</w:t>
            </w:r>
          </w:p>
        </w:tc>
      </w:tr>
      <w:tr w14:paraId="1FEACD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AB86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E8A25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F8E7A8">
            <w:pPr>
              <w:jc w:val="center"/>
            </w:pPr>
            <w:r>
              <w:rPr>
                <w:rFonts w:ascii="宋体" w:hAnsi="宋体" w:eastAsia="宋体"/>
                <w:sz w:val="16"/>
              </w:rPr>
              <w:t>总体目标完成情况</w:t>
            </w:r>
          </w:p>
        </w:tc>
      </w:tr>
      <w:tr w14:paraId="45176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D3B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E869CE">
            <w:pPr>
              <w:jc w:val="both"/>
            </w:pPr>
            <w:r>
              <w:rPr>
                <w:rFonts w:ascii="宋体" w:hAnsi="宋体" w:eastAsia="宋体"/>
                <w:sz w:val="16"/>
              </w:rPr>
              <w:t>根据《关于建立和实施人身意外伤害保险的通知》（新人社发</w:t>
            </w:r>
            <w:r>
              <w:rPr>
                <w:rFonts w:hint="eastAsia" w:ascii="宋体" w:hAnsi="宋体"/>
                <w:sz w:val="16"/>
                <w:lang w:eastAsia="zh-CN"/>
              </w:rPr>
              <w:t>〔2016〕140号</w:t>
            </w:r>
            <w:r>
              <w:rPr>
                <w:rFonts w:ascii="宋体" w:hAnsi="宋体" w:eastAsia="宋体"/>
                <w:sz w:val="16"/>
              </w:rPr>
              <w:t>），自治区人身意外伤害保险采取政府主导、委托管理、商业运作的模式运行，对新疆户籍的居民、参加自治区城镇职工和城乡居民基本医疗保险的非新疆户籍居民和援疆工作人员提供保障。每人每年10元的筹资标准，保险费由各级财政安排，个人不交费，保障人身意外伤害保险对象经济负担减轻，社会满意度得到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475059">
            <w:pPr>
              <w:jc w:val="both"/>
            </w:pPr>
            <w:r>
              <w:rPr>
                <w:rFonts w:ascii="宋体" w:hAnsi="宋体" w:eastAsia="宋体"/>
                <w:sz w:val="16"/>
              </w:rPr>
              <w:t>根据《关于切实做好2024年自治州人身意外伤害保险相关工作的通知》（巴医保发</w:t>
            </w:r>
            <w:r>
              <w:rPr>
                <w:rFonts w:hint="eastAsia" w:ascii="宋体" w:hAnsi="宋体"/>
                <w:sz w:val="16"/>
                <w:lang w:eastAsia="zh-CN"/>
              </w:rPr>
              <w:t>〔2024〕6号</w:t>
            </w:r>
            <w:r>
              <w:rPr>
                <w:rFonts w:ascii="宋体" w:hAnsi="宋体" w:eastAsia="宋体"/>
                <w:sz w:val="16"/>
              </w:rPr>
              <w:t>）文件要求，按照每人每年10元的筹资标准和2022年12月底基本医疗保险参保人数3.3万人落实2024年资金，已完成此次应上缴资金33万元。</w:t>
            </w:r>
          </w:p>
        </w:tc>
      </w:tr>
      <w:tr w14:paraId="7C5907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E07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59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8A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64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F676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6CB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D93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A9B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160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364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5AF4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8EC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B7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A066">
            <w:pPr>
              <w:jc w:val="center"/>
            </w:pPr>
            <w:r>
              <w:rPr>
                <w:rFonts w:ascii="宋体" w:hAnsi="宋体" w:eastAsia="宋体"/>
                <w:sz w:val="16"/>
              </w:rPr>
              <w:t>偏差原因分析及改进措施</w:t>
            </w:r>
          </w:p>
        </w:tc>
      </w:tr>
      <w:tr w14:paraId="58994B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709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F8DB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67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1C90">
            <w:pPr>
              <w:jc w:val="center"/>
            </w:pPr>
            <w:r>
              <w:rPr>
                <w:rFonts w:ascii="宋体" w:hAnsi="宋体" w:eastAsia="宋体"/>
                <w:sz w:val="16"/>
              </w:rPr>
              <w:t>人身意外伤害保险保障人数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5C88">
            <w:pPr>
              <w:jc w:val="center"/>
            </w:pPr>
            <w:r>
              <w:rPr>
                <w:rFonts w:ascii="宋体" w:hAnsi="宋体" w:eastAsia="宋体"/>
                <w:sz w:val="16"/>
              </w:rPr>
              <w:t>&gt;=3.3万人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FF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57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6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20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3B0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4EA8">
            <w:pPr>
              <w:jc w:val="center"/>
            </w:pPr>
            <w:r>
              <w:rPr>
                <w:rFonts w:ascii="宋体" w:hAnsi="宋体" w:eastAsia="宋体"/>
                <w:sz w:val="16"/>
              </w:rPr>
              <w:t>=3.3万人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8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16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BB9C">
            <w:pPr>
              <w:jc w:val="center"/>
            </w:pPr>
          </w:p>
        </w:tc>
      </w:tr>
      <w:tr w14:paraId="4F98FA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B26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E2C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73C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1CF1">
            <w:pPr>
              <w:jc w:val="center"/>
            </w:pPr>
            <w:r>
              <w:rPr>
                <w:rFonts w:ascii="宋体" w:hAnsi="宋体" w:eastAsia="宋体"/>
                <w:sz w:val="16"/>
              </w:rPr>
              <w:t>人身意外伤害保险受益覆盖范围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5A9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69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A2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C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B6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E8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5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358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CE5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A5291">
            <w:pPr>
              <w:jc w:val="center"/>
            </w:pPr>
            <w:r>
              <w:rPr>
                <w:rFonts w:ascii="宋体" w:hAnsi="宋体" w:eastAsia="宋体"/>
                <w:sz w:val="16"/>
              </w:rPr>
              <w:t>偏差原因：已根据文件要求，将符合条件的人员均纳入人身意外伤害保险收益覆盖范围内。改进措施：从严从高设置项目绩效指标。</w:t>
            </w:r>
          </w:p>
        </w:tc>
      </w:tr>
      <w:tr w14:paraId="066CCF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C3E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BC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24C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92D9">
            <w:pPr>
              <w:jc w:val="center"/>
            </w:pPr>
            <w:r>
              <w:rPr>
                <w:rFonts w:ascii="宋体" w:hAnsi="宋体" w:eastAsia="宋体"/>
                <w:sz w:val="16"/>
              </w:rPr>
              <w:t>补助资金使用准确率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7BC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EC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E1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C4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44D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11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D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377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095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AE8D">
            <w:pPr>
              <w:jc w:val="center"/>
            </w:pPr>
            <w:r>
              <w:rPr>
                <w:rFonts w:ascii="宋体" w:hAnsi="宋体" w:eastAsia="宋体"/>
                <w:sz w:val="16"/>
              </w:rPr>
              <w:t>偏差原因：已根据文件要求，按照每人每年10元的筹资标准完成补助资金的上缴任务。改进措施：从严从高设置项目绩效指标。</w:t>
            </w:r>
          </w:p>
        </w:tc>
      </w:tr>
      <w:tr w14:paraId="1AD04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852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6F3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83E6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3797">
            <w:pPr>
              <w:jc w:val="center"/>
            </w:pPr>
            <w:r>
              <w:rPr>
                <w:rFonts w:ascii="宋体" w:hAnsi="宋体" w:eastAsia="宋体"/>
                <w:sz w:val="16"/>
              </w:rPr>
              <w:t>当年各级财政补助资金到位率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3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5A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70A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9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483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353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C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5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2F2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3970">
            <w:pPr>
              <w:jc w:val="center"/>
            </w:pPr>
          </w:p>
        </w:tc>
      </w:tr>
      <w:tr w14:paraId="492C0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7A1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D53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D3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4599">
            <w:pPr>
              <w:jc w:val="center"/>
            </w:pPr>
            <w:r>
              <w:rPr>
                <w:rFonts w:ascii="宋体" w:hAnsi="宋体" w:eastAsia="宋体"/>
                <w:sz w:val="16"/>
              </w:rPr>
              <w:t>人身意外伤害保险</w:t>
            </w:r>
            <w:r>
              <w:rPr>
                <w:rFonts w:hint="eastAsia" w:ascii="宋体" w:hAnsi="宋体"/>
                <w:sz w:val="16"/>
                <w:lang w:eastAsia="zh-CN"/>
              </w:rPr>
              <w:t>人均财政补助标准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B7F2">
            <w:pPr>
              <w:jc w:val="center"/>
            </w:pPr>
            <w:r>
              <w:rPr>
                <w:rFonts w:ascii="宋体" w:hAnsi="宋体" w:eastAsia="宋体"/>
                <w:sz w:val="16"/>
              </w:rPr>
              <w:t>=10元/人·年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59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65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482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2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58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CE9F">
            <w:pPr>
              <w:jc w:val="center"/>
            </w:pPr>
            <w:r>
              <w:rPr>
                <w:rFonts w:ascii="宋体" w:hAnsi="宋体" w:eastAsia="宋体"/>
                <w:sz w:val="16"/>
              </w:rPr>
              <w:t>=10元/人·年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A5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AB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01BB">
            <w:pPr>
              <w:jc w:val="center"/>
            </w:pPr>
          </w:p>
        </w:tc>
      </w:tr>
      <w:tr w14:paraId="7384B0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F41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BC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9B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F7AA">
            <w:pPr>
              <w:jc w:val="center"/>
            </w:pPr>
            <w:r>
              <w:rPr>
                <w:rFonts w:ascii="宋体" w:hAnsi="宋体" w:eastAsia="宋体"/>
                <w:sz w:val="16"/>
              </w:rPr>
              <w:t>人身意外伤害保险政策知晓率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2FCDF">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5C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1B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619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71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A3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B889C">
            <w:pPr>
              <w:jc w:val="center"/>
            </w:pPr>
            <w:r>
              <w:rPr>
                <w:rFonts w:ascii="宋体" w:hAnsi="宋体" w:eastAsia="宋体"/>
                <w:sz w:val="16"/>
              </w:rPr>
              <w:t>=91.53%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5736">
            <w:pPr>
              <w:jc w:val="center"/>
            </w:pPr>
            <w:r>
              <w:rPr>
                <w:rFonts w:ascii="宋体" w:hAnsi="宋体" w:eastAsia="宋体"/>
                <w:sz w:val="16"/>
              </w:rPr>
              <w:t>114.41%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D05C">
            <w:pPr>
              <w:jc w:val="center"/>
            </w:pPr>
            <w:r>
              <w:rPr>
                <w:rFonts w:ascii="宋体" w:hAnsi="宋体" w:eastAsia="宋体"/>
                <w:sz w:val="16"/>
              </w:rPr>
              <w:t>17.12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8CC7">
            <w:pPr>
              <w:jc w:val="center"/>
            </w:pPr>
            <w:r>
              <w:rPr>
                <w:rFonts w:ascii="宋体" w:hAnsi="宋体" w:eastAsia="宋体"/>
                <w:sz w:val="16"/>
              </w:rPr>
              <w:t>偏差原因：本年度人身意外伤害保险政策知晓率有所上涨，比年初预期满意度高，说明在参保缴费、医疗费用报销方面大家的认可度有所提升。改进措施：从严从高设置项目绩效指标。</w:t>
            </w:r>
          </w:p>
        </w:tc>
      </w:tr>
      <w:tr w14:paraId="6104F8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3ED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90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BE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A4D7">
            <w:pPr>
              <w:jc w:val="center"/>
            </w:pPr>
            <w:r>
              <w:rPr>
                <w:rFonts w:ascii="宋体" w:hAnsi="宋体" w:eastAsia="宋体"/>
                <w:sz w:val="16"/>
              </w:rPr>
              <w:t>享受意外伤害保险对象满意度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98D5">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A8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F9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D5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47D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5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C7F4">
            <w:pPr>
              <w:jc w:val="center"/>
            </w:pPr>
            <w:r>
              <w:rPr>
                <w:rFonts w:ascii="宋体" w:hAnsi="宋体" w:eastAsia="宋体"/>
                <w:sz w:val="16"/>
              </w:rPr>
              <w:t>=76.67%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00FC">
            <w:pPr>
              <w:jc w:val="center"/>
            </w:pPr>
            <w:r>
              <w:rPr>
                <w:rFonts w:ascii="宋体" w:hAnsi="宋体" w:eastAsia="宋体"/>
                <w:sz w:val="16"/>
              </w:rPr>
              <w:t>95.84%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BEA1">
            <w:pPr>
              <w:jc w:val="center"/>
            </w:pPr>
            <w:r>
              <w:rPr>
                <w:rFonts w:ascii="宋体" w:hAnsi="宋体" w:eastAsia="宋体"/>
                <w:sz w:val="16"/>
              </w:rPr>
              <w:t>9.58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35B0">
            <w:pPr>
              <w:jc w:val="center"/>
            </w:pPr>
            <w:r>
              <w:rPr>
                <w:rFonts w:ascii="宋体" w:hAnsi="宋体" w:eastAsia="宋体"/>
                <w:sz w:val="16"/>
              </w:rPr>
              <w:t>偏差原因：因人身意外保险报销流程较多，政策涵盖多种成因，导致享受意外伤害保险对象满意度不高。改进措施：加强对人身意外伤害保险政策的宣传力度，通过“一件事一次办”相关政策优化报销流程，提高政策知晓率。</w:t>
            </w:r>
          </w:p>
        </w:tc>
      </w:tr>
      <w:tr w14:paraId="57E685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DB7E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252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336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FE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1E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DCC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77A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4FF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019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97B4">
            <w:pPr>
              <w:jc w:val="center"/>
            </w:pPr>
            <w:r>
              <w:rPr>
                <w:rFonts w:ascii="宋体" w:hAnsi="宋体" w:eastAsia="宋体"/>
                <w:sz w:val="16"/>
              </w:rPr>
              <w:t>95.06分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84051"/>
        </w:tc>
      </w:tr>
    </w:tbl>
    <w:p w14:paraId="4082B2D1">
      <w:r>
        <w:br w:type="page"/>
      </w:r>
    </w:p>
    <w:tbl>
      <w:tblPr>
        <w:tblStyle w:val="10"/>
        <w:tblW w:w="0" w:type="auto"/>
        <w:tblInd w:w="0" w:type="dxa"/>
        <w:tblLayout w:type="fixed"/>
        <w:tblCellMar>
          <w:top w:w="0" w:type="dxa"/>
          <w:left w:w="108" w:type="dxa"/>
          <w:bottom w:w="0" w:type="dxa"/>
          <w:right w:w="108" w:type="dxa"/>
        </w:tblCellMar>
      </w:tblPr>
      <w:tblGrid>
        <w:gridCol w:w="620"/>
        <w:gridCol w:w="601"/>
        <w:gridCol w:w="601"/>
        <w:gridCol w:w="620"/>
        <w:gridCol w:w="696"/>
        <w:gridCol w:w="601"/>
        <w:gridCol w:w="696"/>
        <w:gridCol w:w="611"/>
        <w:gridCol w:w="601"/>
        <w:gridCol w:w="601"/>
        <w:gridCol w:w="685"/>
        <w:gridCol w:w="91"/>
        <w:gridCol w:w="509"/>
        <w:gridCol w:w="645"/>
        <w:gridCol w:w="252"/>
        <w:gridCol w:w="630"/>
      </w:tblGrid>
      <w:tr w14:paraId="11E628D6">
        <w:tblPrEx>
          <w:tblCellMar>
            <w:top w:w="0" w:type="dxa"/>
            <w:left w:w="108" w:type="dxa"/>
            <w:bottom w:w="0" w:type="dxa"/>
            <w:right w:w="108" w:type="dxa"/>
          </w:tblCellMar>
        </w:tblPrEx>
        <w:tc>
          <w:tcPr>
            <w:tcW w:w="9060" w:type="dxa"/>
            <w:gridSpan w:val="16"/>
            <w:vAlign w:val="center"/>
          </w:tcPr>
          <w:p w14:paraId="74680A52">
            <w:pPr>
              <w:jc w:val="center"/>
            </w:pPr>
            <w:r>
              <w:rPr>
                <w:rFonts w:ascii="宋体" w:hAnsi="宋体" w:eastAsia="宋体"/>
                <w:sz w:val="24"/>
              </w:rPr>
              <w:t>项目支出绩效自评表</w:t>
            </w:r>
          </w:p>
        </w:tc>
      </w:tr>
      <w:tr w14:paraId="394B8EC9">
        <w:tblPrEx>
          <w:tblCellMar>
            <w:top w:w="0" w:type="dxa"/>
            <w:left w:w="108" w:type="dxa"/>
            <w:bottom w:w="0" w:type="dxa"/>
            <w:right w:w="108" w:type="dxa"/>
          </w:tblCellMar>
        </w:tblPrEx>
        <w:tc>
          <w:tcPr>
            <w:tcW w:w="9060" w:type="dxa"/>
            <w:gridSpan w:val="16"/>
            <w:vAlign w:val="center"/>
          </w:tcPr>
          <w:p w14:paraId="2B24CFCF">
            <w:pPr>
              <w:jc w:val="center"/>
            </w:pPr>
            <w:r>
              <w:rPr>
                <w:rFonts w:ascii="宋体" w:hAnsi="宋体" w:eastAsia="宋体"/>
                <w:sz w:val="24"/>
              </w:rPr>
              <w:t>(2024年度)</w:t>
            </w:r>
          </w:p>
        </w:tc>
      </w:tr>
      <w:tr w14:paraId="7616A1CF">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04F967B">
            <w:pPr>
              <w:jc w:val="center"/>
            </w:pPr>
            <w:r>
              <w:rPr>
                <w:rFonts w:ascii="宋体" w:hAnsi="宋体" w:eastAsia="宋体"/>
                <w:sz w:val="16"/>
              </w:rPr>
              <w:t>项目名称</w:t>
            </w:r>
          </w:p>
        </w:tc>
        <w:tc>
          <w:tcPr>
            <w:tcW w:w="844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1C339F23">
            <w:pPr>
              <w:jc w:val="center"/>
            </w:pPr>
            <w:r>
              <w:rPr>
                <w:rFonts w:ascii="宋体" w:hAnsi="宋体" w:eastAsia="宋体"/>
                <w:sz w:val="16"/>
              </w:rPr>
              <w:t>2024年自治区财政全民参保及医疗服务补助资金</w:t>
            </w:r>
          </w:p>
        </w:tc>
      </w:tr>
      <w:tr w14:paraId="602D28AD">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30551AA">
            <w:pPr>
              <w:jc w:val="center"/>
            </w:pPr>
            <w:r>
              <w:rPr>
                <w:rFonts w:ascii="宋体" w:hAnsi="宋体" w:eastAsia="宋体"/>
                <w:sz w:val="16"/>
              </w:rPr>
              <w:t>主管部门</w:t>
            </w:r>
          </w:p>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935842">
            <w:pPr>
              <w:jc w:val="center"/>
            </w:pPr>
            <w:r>
              <w:rPr>
                <w:rFonts w:ascii="宋体" w:hAnsi="宋体" w:eastAsia="宋体"/>
                <w:sz w:val="16"/>
              </w:rPr>
              <w:t>博湖县医疗保障局</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E133C9F">
            <w:pPr>
              <w:jc w:val="center"/>
            </w:pPr>
            <w:r>
              <w:rPr>
                <w:rFonts w:ascii="宋体" w:hAnsi="宋体" w:eastAsia="宋体"/>
                <w:sz w:val="16"/>
              </w:rPr>
              <w:t>实施单位</w:t>
            </w:r>
          </w:p>
        </w:tc>
        <w:tc>
          <w:tcPr>
            <w:tcW w:w="34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32C92">
            <w:pPr>
              <w:jc w:val="center"/>
            </w:pPr>
            <w:r>
              <w:rPr>
                <w:rFonts w:ascii="宋体" w:hAnsi="宋体" w:eastAsia="宋体"/>
                <w:sz w:val="16"/>
              </w:rPr>
              <w:t>博湖县医疗保障局</w:t>
            </w:r>
          </w:p>
        </w:tc>
      </w:tr>
      <w:tr w14:paraId="03A0C093">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91EA09">
            <w:pPr>
              <w:jc w:val="center"/>
            </w:pPr>
            <w:r>
              <w:rPr>
                <w:rFonts w:ascii="宋体" w:hAnsi="宋体" w:eastAsia="宋体"/>
                <w:sz w:val="16"/>
              </w:rPr>
              <w:t>项目资金 （万元）</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8F7F3">
            <w:pPr>
              <w:jc w:val="center"/>
            </w:pPr>
            <w:r>
              <w:rPr>
                <w:rFonts w:ascii="宋体" w:hAnsi="宋体" w:eastAsia="宋体"/>
                <w:sz w:val="16"/>
              </w:rPr>
              <w:t>资金来源</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C82B6">
            <w:pPr>
              <w:jc w:val="center"/>
            </w:pPr>
            <w:r>
              <w:rPr>
                <w:rFonts w:ascii="宋体" w:hAnsi="宋体" w:eastAsia="宋体"/>
                <w:sz w:val="16"/>
              </w:rPr>
              <w:t>年初预算数</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FC6C3">
            <w:pPr>
              <w:jc w:val="center"/>
            </w:pPr>
            <w:r>
              <w:rPr>
                <w:rFonts w:ascii="宋体" w:hAnsi="宋体" w:eastAsia="宋体"/>
                <w:sz w:val="16"/>
              </w:rPr>
              <w:t>全年预算数</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5BBD6">
            <w:pPr>
              <w:jc w:val="center"/>
            </w:pPr>
            <w:r>
              <w:rPr>
                <w:rFonts w:ascii="宋体" w:hAnsi="宋体" w:eastAsia="宋体"/>
                <w:sz w:val="16"/>
              </w:rPr>
              <w:t>全年执行数</w:t>
            </w:r>
          </w:p>
        </w:tc>
        <w:tc>
          <w:tcPr>
            <w:tcW w:w="137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5C23E3">
            <w:pPr>
              <w:jc w:val="center"/>
            </w:pPr>
            <w:r>
              <w:rPr>
                <w:rFonts w:ascii="宋体" w:hAnsi="宋体" w:eastAsia="宋体"/>
                <w:sz w:val="16"/>
              </w:rPr>
              <w:t>分值权重</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EDA9D8">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4F849E">
            <w:pPr>
              <w:jc w:val="center"/>
            </w:pPr>
            <w:r>
              <w:rPr>
                <w:rFonts w:ascii="宋体" w:hAnsi="宋体" w:eastAsia="宋体"/>
                <w:sz w:val="16"/>
              </w:rPr>
              <w:t>得分</w:t>
            </w:r>
          </w:p>
        </w:tc>
      </w:tr>
      <w:tr w14:paraId="5AC943D7">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BE84F4C"/>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CDBEF">
            <w:pPr>
              <w:jc w:val="center"/>
            </w:pPr>
            <w:r>
              <w:rPr>
                <w:rFonts w:ascii="宋体" w:hAnsi="宋体" w:eastAsia="宋体"/>
                <w:sz w:val="16"/>
              </w:rPr>
              <w:t>年度资金总额</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67E5E">
            <w:pPr>
              <w:jc w:val="center"/>
            </w:pPr>
            <w:r>
              <w:rPr>
                <w:rFonts w:ascii="宋体" w:hAnsi="宋体" w:eastAsia="宋体"/>
                <w:sz w:val="16"/>
              </w:rPr>
              <w:t>3.00</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80F3A">
            <w:pPr>
              <w:jc w:val="center"/>
            </w:pPr>
            <w:r>
              <w:rPr>
                <w:rFonts w:ascii="宋体" w:hAnsi="宋体" w:eastAsia="宋体"/>
                <w:sz w:val="16"/>
              </w:rPr>
              <w:t>3.00</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13153">
            <w:pPr>
              <w:jc w:val="center"/>
            </w:pPr>
            <w:r>
              <w:rPr>
                <w:rFonts w:ascii="宋体" w:hAnsi="宋体" w:eastAsia="宋体"/>
                <w:sz w:val="16"/>
              </w:rPr>
              <w:t>3.00</w:t>
            </w:r>
          </w:p>
        </w:tc>
        <w:tc>
          <w:tcPr>
            <w:tcW w:w="137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148957">
            <w:pPr>
              <w:jc w:val="center"/>
            </w:pPr>
            <w:r>
              <w:rPr>
                <w:rFonts w:ascii="宋体" w:hAnsi="宋体" w:eastAsia="宋体"/>
                <w:sz w:val="16"/>
              </w:rPr>
              <w:t>10</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260710">
            <w:pPr>
              <w:jc w:val="center"/>
            </w:pPr>
            <w:r>
              <w:rPr>
                <w:rFonts w:ascii="宋体" w:hAnsi="宋体" w:eastAsia="宋体"/>
                <w:sz w:val="16"/>
              </w:rPr>
              <w:t>100.00%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F400B82">
            <w:pPr>
              <w:jc w:val="center"/>
            </w:pPr>
            <w:r>
              <w:rPr>
                <w:rFonts w:ascii="宋体" w:hAnsi="宋体" w:eastAsia="宋体"/>
                <w:sz w:val="16"/>
              </w:rPr>
              <w:t>10.00</w:t>
            </w:r>
          </w:p>
        </w:tc>
      </w:tr>
      <w:tr w14:paraId="1C67EB8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2CBB96A"/>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BC2C1">
            <w:pPr>
              <w:jc w:val="center"/>
            </w:pPr>
            <w:r>
              <w:rPr>
                <w:rFonts w:ascii="宋体" w:hAnsi="宋体" w:eastAsia="宋体"/>
                <w:sz w:val="16"/>
              </w:rPr>
              <w:t>其中：当年财政拨款</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816F9">
            <w:pPr>
              <w:jc w:val="center"/>
            </w:pPr>
            <w:r>
              <w:rPr>
                <w:rFonts w:ascii="宋体" w:hAnsi="宋体" w:eastAsia="宋体"/>
                <w:sz w:val="16"/>
              </w:rPr>
              <w:t>3.00</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322AB">
            <w:pPr>
              <w:jc w:val="center"/>
            </w:pPr>
            <w:r>
              <w:rPr>
                <w:rFonts w:ascii="宋体" w:hAnsi="宋体" w:eastAsia="宋体"/>
                <w:sz w:val="16"/>
              </w:rPr>
              <w:t>3.00</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E2BC0">
            <w:pPr>
              <w:jc w:val="center"/>
            </w:pPr>
            <w:r>
              <w:rPr>
                <w:rFonts w:ascii="宋体" w:hAnsi="宋体" w:eastAsia="宋体"/>
                <w:sz w:val="16"/>
              </w:rPr>
              <w:t>3.00</w:t>
            </w:r>
          </w:p>
        </w:tc>
        <w:tc>
          <w:tcPr>
            <w:tcW w:w="137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D059B0">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9E894E">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BCBE724">
            <w:pPr>
              <w:jc w:val="center"/>
            </w:pPr>
            <w:r>
              <w:rPr>
                <w:rFonts w:ascii="宋体" w:hAnsi="宋体" w:eastAsia="宋体"/>
                <w:sz w:val="16"/>
              </w:rPr>
              <w:t>-</w:t>
            </w:r>
          </w:p>
        </w:tc>
      </w:tr>
      <w:tr w14:paraId="5EAB4FF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A0D597A"/>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E97E4">
            <w:pPr>
              <w:jc w:val="center"/>
            </w:pPr>
            <w:r>
              <w:rPr>
                <w:rFonts w:ascii="宋体" w:hAnsi="宋体" w:eastAsia="宋体"/>
                <w:sz w:val="16"/>
              </w:rPr>
              <w:t>其他资金</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BBF86">
            <w:pPr>
              <w:jc w:val="center"/>
            </w:pPr>
            <w:r>
              <w:rPr>
                <w:rFonts w:ascii="宋体" w:hAnsi="宋体" w:eastAsia="宋体"/>
                <w:sz w:val="16"/>
              </w:rPr>
              <w:t>0.00</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02441">
            <w:pPr>
              <w:jc w:val="center"/>
            </w:pPr>
            <w:r>
              <w:rPr>
                <w:rFonts w:ascii="宋体" w:hAnsi="宋体" w:eastAsia="宋体"/>
                <w:sz w:val="16"/>
              </w:rPr>
              <w:t>0.00</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39FC3">
            <w:pPr>
              <w:jc w:val="center"/>
            </w:pPr>
            <w:r>
              <w:rPr>
                <w:rFonts w:ascii="宋体" w:hAnsi="宋体" w:eastAsia="宋体"/>
                <w:sz w:val="16"/>
              </w:rPr>
              <w:t>0.00</w:t>
            </w:r>
          </w:p>
        </w:tc>
        <w:tc>
          <w:tcPr>
            <w:tcW w:w="137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4CD227">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2FCCC9">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CB51D30">
            <w:pPr>
              <w:jc w:val="center"/>
            </w:pPr>
            <w:r>
              <w:rPr>
                <w:rFonts w:ascii="宋体" w:hAnsi="宋体" w:eastAsia="宋体"/>
                <w:sz w:val="16"/>
              </w:rPr>
              <w:t>-</w:t>
            </w:r>
          </w:p>
        </w:tc>
      </w:tr>
      <w:tr w14:paraId="6FC35016">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23358">
            <w:pPr>
              <w:jc w:val="center"/>
            </w:pPr>
            <w:r>
              <w:rPr>
                <w:rFonts w:ascii="宋体" w:hAnsi="宋体" w:eastAsia="宋体"/>
                <w:sz w:val="16"/>
              </w:rPr>
              <w:t>年度总体目标</w:t>
            </w:r>
          </w:p>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8C5DBD">
            <w:pPr>
              <w:jc w:val="center"/>
            </w:pPr>
            <w:r>
              <w:rPr>
                <w:rFonts w:ascii="宋体" w:hAnsi="宋体" w:eastAsia="宋体"/>
                <w:sz w:val="16"/>
              </w:rPr>
              <w:t>总体目标</w:t>
            </w:r>
          </w:p>
        </w:tc>
        <w:tc>
          <w:tcPr>
            <w:tcW w:w="401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7E7206">
            <w:pPr>
              <w:jc w:val="center"/>
            </w:pPr>
            <w:r>
              <w:rPr>
                <w:rFonts w:ascii="宋体" w:hAnsi="宋体" w:eastAsia="宋体"/>
                <w:sz w:val="16"/>
              </w:rPr>
              <w:t>总体目标完成情况</w:t>
            </w:r>
          </w:p>
        </w:tc>
      </w:tr>
      <w:tr w14:paraId="3C1D5E0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05D33FD"/>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29BA8">
            <w:pPr>
              <w:jc w:val="both"/>
            </w:pPr>
            <w:r>
              <w:rPr>
                <w:rFonts w:ascii="宋体" w:hAnsi="宋体" w:eastAsia="宋体"/>
                <w:sz w:val="16"/>
              </w:rPr>
              <w:t>1.有效提高两定机构医疗保险服务质量、规范医疗服务行为、保障参保人员权益、提升基金使用效率、规范协议管理等工作。</w:t>
            </w:r>
            <w:r>
              <w:rPr>
                <w:rFonts w:ascii="宋体" w:hAnsi="宋体" w:eastAsia="宋体"/>
                <w:sz w:val="16"/>
              </w:rPr>
              <w:br w:type="textWrapping"/>
            </w:r>
            <w:r>
              <w:rPr>
                <w:rFonts w:ascii="宋体" w:hAnsi="宋体" w:eastAsia="宋体"/>
                <w:sz w:val="16"/>
              </w:rPr>
              <w:t>2.社会保险代办员工作以提升业务工作效率为着力点，围绕提高为民服务质量为重点，社会保险经办机构服务水平明显提高。</w:t>
            </w:r>
            <w:r>
              <w:rPr>
                <w:rFonts w:ascii="宋体" w:hAnsi="宋体" w:eastAsia="宋体"/>
                <w:sz w:val="16"/>
              </w:rPr>
              <w:br w:type="textWrapping"/>
            </w:r>
            <w:r>
              <w:rPr>
                <w:rFonts w:ascii="宋体" w:hAnsi="宋体" w:eastAsia="宋体"/>
                <w:sz w:val="16"/>
              </w:rPr>
              <w:t>3.使国家社保惠民的知晓率有很大的提高，群众的参保自觉性进一步提高，对于实现全民参保有巨大的现实意义。</w:t>
            </w:r>
            <w:r>
              <w:rPr>
                <w:rFonts w:ascii="宋体" w:hAnsi="宋体" w:eastAsia="宋体"/>
                <w:sz w:val="16"/>
              </w:rPr>
              <w:br w:type="textWrapping"/>
            </w:r>
            <w:r>
              <w:rPr>
                <w:rFonts w:ascii="宋体" w:hAnsi="宋体" w:eastAsia="宋体"/>
                <w:sz w:val="16"/>
              </w:rPr>
              <w:t>4.对医保业务档案实现全面的数字化。</w:t>
            </w:r>
          </w:p>
        </w:tc>
        <w:tc>
          <w:tcPr>
            <w:tcW w:w="401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2B7F9E6">
            <w:pPr>
              <w:jc w:val="both"/>
            </w:pPr>
            <w:r>
              <w:rPr>
                <w:rFonts w:ascii="宋体" w:hAnsi="宋体" w:eastAsia="宋体"/>
                <w:sz w:val="16"/>
              </w:rPr>
              <w:t>通过委托经办、代办、帮办等方式，城乡医疗保险参保人数3.47万人，基本医疗参保率达98.37%，保障办公人员13人，印刷医保政策宣传册1000册，使医保惠民政策的知晓率有很大的提高，从而减轻参保人员的就医经济负担。</w:t>
            </w:r>
          </w:p>
        </w:tc>
      </w:tr>
      <w:tr w14:paraId="2FFD068A">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75460437"/>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60CA0D2">
            <w:pPr>
              <w:jc w:val="center"/>
            </w:pPr>
            <w:r>
              <w:rPr>
                <w:rFonts w:ascii="宋体" w:hAnsi="宋体" w:eastAsia="宋体"/>
                <w:sz w:val="16"/>
              </w:rPr>
              <w:t>一级指标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C63A696">
            <w:pPr>
              <w:jc w:val="center"/>
            </w:pPr>
            <w:r>
              <w:rPr>
                <w:rFonts w:ascii="宋体" w:hAnsi="宋体" w:eastAsia="宋体"/>
                <w:sz w:val="16"/>
              </w:rPr>
              <w:t>二级指标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2EBB4B7">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F364A9">
            <w:pPr>
              <w:jc w:val="center"/>
            </w:pPr>
            <w:r>
              <w:rPr>
                <w:rFonts w:ascii="宋体" w:hAnsi="宋体" w:eastAsia="宋体"/>
                <w:sz w:val="16"/>
              </w:rPr>
              <w:t>指标值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97E1188">
            <w:pPr>
              <w:jc w:val="center"/>
            </w:pPr>
            <w:r>
              <w:rPr>
                <w:rFonts w:ascii="宋体" w:hAnsi="宋体" w:eastAsia="宋体"/>
                <w:sz w:val="16"/>
              </w:rPr>
              <w:t>指标值设置依据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0FDFBA">
            <w:pPr>
              <w:jc w:val="center"/>
            </w:pPr>
            <w:r>
              <w:rPr>
                <w:rFonts w:ascii="宋体" w:hAnsi="宋体" w:eastAsia="宋体"/>
                <w:sz w:val="16"/>
              </w:rPr>
              <w:t>上年完成值</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0EF0E02">
            <w:pPr>
              <w:jc w:val="center"/>
            </w:pPr>
            <w:r>
              <w:rPr>
                <w:rFonts w:ascii="宋体" w:hAnsi="宋体" w:eastAsia="宋体"/>
                <w:sz w:val="16"/>
              </w:rPr>
              <w:t>指标分值权重</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0AD6C19">
            <w:pPr>
              <w:jc w:val="center"/>
            </w:pPr>
            <w:r>
              <w:rPr>
                <w:rFonts w:ascii="宋体" w:hAnsi="宋体" w:eastAsia="宋体"/>
                <w:sz w:val="16"/>
              </w:rPr>
              <w:t>指标赋分规则</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2018B63">
            <w:pPr>
              <w:jc w:val="center"/>
            </w:pPr>
            <w:r>
              <w:rPr>
                <w:rFonts w:ascii="宋体" w:hAnsi="宋体" w:eastAsia="宋体"/>
                <w:sz w:val="16"/>
              </w:rPr>
              <w:t>佐证资料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65C5DC55">
            <w:pPr>
              <w:jc w:val="center"/>
            </w:pPr>
            <w:r>
              <w:rPr>
                <w:rFonts w:ascii="宋体" w:hAnsi="宋体" w:eastAsia="宋体"/>
                <w:sz w:val="16"/>
              </w:rPr>
              <w:t>指标实际完成值</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508BB">
            <w:pPr>
              <w:jc w:val="center"/>
            </w:pPr>
            <w:r>
              <w:rPr>
                <w:rFonts w:ascii="宋体" w:hAnsi="宋体" w:eastAsia="宋体"/>
                <w:sz w:val="16"/>
              </w:rPr>
              <w:t>完成率</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4BE9749D">
            <w:pPr>
              <w:jc w:val="center"/>
            </w:pPr>
            <w:r>
              <w:rPr>
                <w:rFonts w:ascii="宋体" w:hAnsi="宋体" w:eastAsia="宋体"/>
                <w:sz w:val="16"/>
              </w:rPr>
              <w:t>指标得分</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1A2B3">
            <w:pPr>
              <w:jc w:val="center"/>
            </w:pPr>
            <w:r>
              <w:rPr>
                <w:rFonts w:ascii="宋体" w:hAnsi="宋体" w:eastAsia="宋体"/>
                <w:sz w:val="16"/>
              </w:rPr>
              <w:t>偏差原因分析及改进措施</w:t>
            </w:r>
          </w:p>
        </w:tc>
      </w:tr>
      <w:tr w14:paraId="5393224C">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E3435">
            <w:pPr>
              <w:jc w:val="center"/>
            </w:pPr>
            <w:r>
              <w:rPr>
                <w:rFonts w:ascii="宋体" w:hAnsi="宋体" w:eastAsia="宋体"/>
                <w:sz w:val="16"/>
              </w:rPr>
              <w:t>年度绩效指标完成情况</w:t>
            </w:r>
          </w:p>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7743E">
            <w:pPr>
              <w:jc w:val="center"/>
            </w:pPr>
            <w:r>
              <w:rPr>
                <w:rFonts w:ascii="宋体" w:hAnsi="宋体" w:eastAsia="宋体"/>
                <w:sz w:val="16"/>
              </w:rPr>
              <w:t>产出指标</w:t>
            </w:r>
          </w:p>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C368F">
            <w:pPr>
              <w:jc w:val="center"/>
            </w:pPr>
            <w:r>
              <w:rPr>
                <w:rFonts w:ascii="宋体" w:hAnsi="宋体" w:eastAsia="宋体"/>
                <w:sz w:val="16"/>
              </w:rPr>
              <w:t>数量指标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3A652E5">
            <w:pPr>
              <w:jc w:val="center"/>
            </w:pPr>
            <w:r>
              <w:rPr>
                <w:rFonts w:ascii="宋体" w:hAnsi="宋体" w:eastAsia="宋体"/>
                <w:sz w:val="16"/>
              </w:rPr>
              <w:t>城乡医疗保险参保人数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D8358A">
            <w:pPr>
              <w:jc w:val="center"/>
            </w:pPr>
            <w:r>
              <w:rPr>
                <w:rFonts w:ascii="宋体" w:hAnsi="宋体" w:eastAsia="宋体"/>
                <w:sz w:val="16"/>
              </w:rPr>
              <w:t>&gt;=3.50万人</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AB93DD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BF24EE">
            <w:pPr>
              <w:jc w:val="center"/>
            </w:pPr>
            <w:r>
              <w:rPr>
                <w:rFonts w:ascii="宋体" w:hAnsi="宋体" w:eastAsia="宋体"/>
                <w:sz w:val="16"/>
              </w:rPr>
              <w:t>3.53万人</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69860DA">
            <w:pPr>
              <w:jc w:val="center"/>
            </w:pPr>
            <w:r>
              <w:rPr>
                <w:rFonts w:ascii="宋体" w:hAnsi="宋体" w:eastAsia="宋体"/>
                <w:sz w:val="16"/>
              </w:rPr>
              <w:t>7</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42DA4FF">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6EF38A3">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72A59DEC">
            <w:pPr>
              <w:jc w:val="center"/>
            </w:pPr>
            <w:r>
              <w:rPr>
                <w:rFonts w:ascii="宋体" w:hAnsi="宋体" w:eastAsia="宋体"/>
                <w:sz w:val="16"/>
              </w:rPr>
              <w:t>=3.47万人</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2F52A">
            <w:pPr>
              <w:jc w:val="center"/>
            </w:pPr>
            <w:r>
              <w:rPr>
                <w:rFonts w:ascii="宋体" w:hAnsi="宋体" w:eastAsia="宋体"/>
                <w:sz w:val="16"/>
              </w:rPr>
              <w:t>99.14%</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30759E09">
            <w:pPr>
              <w:jc w:val="center"/>
            </w:pPr>
            <w:r>
              <w:rPr>
                <w:rFonts w:ascii="宋体" w:hAnsi="宋体" w:eastAsia="宋体"/>
                <w:sz w:val="16"/>
              </w:rPr>
              <w:t>6.94</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EEB4F">
            <w:pPr>
              <w:jc w:val="center"/>
            </w:pPr>
            <w:r>
              <w:rPr>
                <w:rFonts w:ascii="宋体" w:hAnsi="宋体" w:eastAsia="宋体"/>
                <w:sz w:val="16"/>
              </w:rPr>
              <w:t>偏差原因：本年城乡居民参保人数较往年有所下降，外出务工人员增加，城乡居民基本医疗保险转职工医疗保险人数较往年也有所增加。改进措施：加强城乡居民基本医疗保险政策的宣传力度，分时分段做好城乡居民参保缴费工作。</w:t>
            </w:r>
          </w:p>
        </w:tc>
      </w:tr>
      <w:tr w14:paraId="3EF70FF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4B2B540"/>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4BDF3CB4"/>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5712944C"/>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8F08307">
            <w:pPr>
              <w:jc w:val="center"/>
            </w:pPr>
            <w:r>
              <w:rPr>
                <w:rFonts w:ascii="宋体" w:hAnsi="宋体" w:eastAsia="宋体"/>
                <w:sz w:val="16"/>
              </w:rPr>
              <w:t>基本医疗保险参保率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2F869D">
            <w:pPr>
              <w:jc w:val="center"/>
            </w:pPr>
            <w:r>
              <w:rPr>
                <w:rFonts w:ascii="宋体" w:hAnsi="宋体" w:eastAsia="宋体"/>
                <w:sz w:val="16"/>
              </w:rPr>
              <w:t>&gt;=95%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97D548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68897E">
            <w:pPr>
              <w:jc w:val="center"/>
            </w:pPr>
            <w:r>
              <w:rPr>
                <w:rFonts w:ascii="宋体" w:hAnsi="宋体" w:eastAsia="宋体"/>
                <w:sz w:val="16"/>
              </w:rPr>
              <w:t>98.11%</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DE1AFC7">
            <w:pPr>
              <w:jc w:val="center"/>
            </w:pPr>
            <w:r>
              <w:rPr>
                <w:rFonts w:ascii="宋体" w:hAnsi="宋体" w:eastAsia="宋体"/>
                <w:sz w:val="16"/>
              </w:rPr>
              <w:t>7</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DDD0C19">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B58EBC6">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BCE614B">
            <w:pPr>
              <w:jc w:val="center"/>
            </w:pPr>
            <w:r>
              <w:rPr>
                <w:rFonts w:ascii="宋体" w:hAnsi="宋体" w:eastAsia="宋体"/>
                <w:sz w:val="16"/>
              </w:rPr>
              <w:t>=98.37%</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367A7">
            <w:pPr>
              <w:jc w:val="center"/>
            </w:pPr>
            <w:r>
              <w:rPr>
                <w:rFonts w:ascii="宋体" w:hAnsi="宋体" w:eastAsia="宋体"/>
                <w:sz w:val="16"/>
              </w:rPr>
              <w:t>103.55%</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77A534D9">
            <w:pPr>
              <w:jc w:val="center"/>
            </w:pPr>
            <w:r>
              <w:rPr>
                <w:rFonts w:ascii="宋体" w:hAnsi="宋体" w:eastAsia="宋体"/>
                <w:sz w:val="16"/>
              </w:rPr>
              <w:t>6.75</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D5283">
            <w:pPr>
              <w:jc w:val="center"/>
            </w:pPr>
            <w:r>
              <w:rPr>
                <w:rFonts w:ascii="宋体" w:hAnsi="宋体" w:eastAsia="宋体"/>
                <w:sz w:val="16"/>
              </w:rPr>
              <w:t>偏差原因：本年度基本医疗保险参保率较预期有所增长，城乡居民基本医疗保险转职工医疗保险人数较往年有所增加。改进措施：从严从高设置项目绩效指标。</w:t>
            </w:r>
          </w:p>
        </w:tc>
      </w:tr>
      <w:tr w14:paraId="1474BD2C">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B733FB2"/>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EDF6F08"/>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6D41BDD"/>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B6C2EA4">
            <w:pPr>
              <w:jc w:val="center"/>
            </w:pPr>
            <w:r>
              <w:rPr>
                <w:rFonts w:ascii="宋体" w:hAnsi="宋体" w:eastAsia="宋体"/>
                <w:sz w:val="16"/>
              </w:rPr>
              <w:t>保障办公人员数量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B21E10">
            <w:pPr>
              <w:jc w:val="center"/>
            </w:pPr>
            <w:r>
              <w:rPr>
                <w:rFonts w:ascii="宋体" w:hAnsi="宋体" w:eastAsia="宋体"/>
                <w:sz w:val="16"/>
              </w:rPr>
              <w:t>&gt;=13人</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6A0529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87064A">
            <w:pPr>
              <w:jc w:val="center"/>
            </w:pPr>
            <w:r>
              <w:rPr>
                <w:rFonts w:ascii="宋体" w:hAnsi="宋体" w:eastAsia="宋体"/>
                <w:sz w:val="16"/>
              </w:rPr>
              <w:t>-</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BF8D184">
            <w:pPr>
              <w:jc w:val="center"/>
            </w:pPr>
            <w:r>
              <w:rPr>
                <w:rFonts w:ascii="宋体" w:hAnsi="宋体" w:eastAsia="宋体"/>
                <w:sz w:val="16"/>
              </w:rPr>
              <w:t>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0C1D070">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0F39B78">
            <w:pPr>
              <w:jc w:val="center"/>
            </w:pPr>
            <w:r>
              <w:rPr>
                <w:rFonts w:ascii="宋体" w:hAnsi="宋体" w:eastAsia="宋体"/>
                <w:sz w:val="16"/>
              </w:rPr>
              <w:t>正式材料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6F86FDFD">
            <w:pPr>
              <w:jc w:val="center"/>
            </w:pPr>
            <w:r>
              <w:rPr>
                <w:rFonts w:ascii="宋体" w:hAnsi="宋体" w:eastAsia="宋体"/>
                <w:sz w:val="16"/>
              </w:rPr>
              <w:t>=13人</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30D94">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42F7910D">
            <w:pPr>
              <w:jc w:val="center"/>
            </w:pPr>
            <w:r>
              <w:rPr>
                <w:rFonts w:ascii="宋体" w:hAnsi="宋体" w:eastAsia="宋体"/>
                <w:sz w:val="16"/>
              </w:rPr>
              <w:t>5</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17FAC">
            <w:pPr>
              <w:jc w:val="center"/>
            </w:pPr>
          </w:p>
        </w:tc>
      </w:tr>
      <w:tr w14:paraId="1140472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5D7A577"/>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09E3EC5"/>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69C80EB3"/>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D7A60D4">
            <w:pPr>
              <w:jc w:val="center"/>
            </w:pPr>
            <w:r>
              <w:rPr>
                <w:rFonts w:ascii="宋体" w:hAnsi="宋体" w:eastAsia="宋体"/>
                <w:sz w:val="16"/>
              </w:rPr>
              <w:t>印刷医保政策宣传册</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2781A5">
            <w:pPr>
              <w:jc w:val="center"/>
            </w:pPr>
            <w:r>
              <w:rPr>
                <w:rFonts w:ascii="宋体" w:hAnsi="宋体" w:eastAsia="宋体"/>
                <w:sz w:val="16"/>
              </w:rPr>
              <w:t>&gt;=1000册</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8699D6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0527FC">
            <w:pPr>
              <w:jc w:val="center"/>
            </w:pPr>
            <w:r>
              <w:rPr>
                <w:rFonts w:ascii="宋体" w:hAnsi="宋体" w:eastAsia="宋体"/>
                <w:sz w:val="16"/>
              </w:rPr>
              <w:t>-</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DA6BC26">
            <w:pPr>
              <w:jc w:val="center"/>
            </w:pPr>
            <w:r>
              <w:rPr>
                <w:rFonts w:ascii="宋体" w:hAnsi="宋体" w:eastAsia="宋体"/>
                <w:sz w:val="16"/>
              </w:rPr>
              <w:t>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08FF846">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B05A1F3">
            <w:pPr>
              <w:jc w:val="center"/>
            </w:pPr>
            <w:r>
              <w:rPr>
                <w:rFonts w:ascii="宋体" w:hAnsi="宋体" w:eastAsia="宋体"/>
                <w:sz w:val="16"/>
              </w:rPr>
              <w:t>正式材料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5B88D0C">
            <w:pPr>
              <w:jc w:val="center"/>
            </w:pPr>
            <w:r>
              <w:rPr>
                <w:rFonts w:ascii="宋体" w:hAnsi="宋体" w:eastAsia="宋体"/>
                <w:sz w:val="16"/>
              </w:rPr>
              <w:t>=1000册</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60722">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2D9B246D">
            <w:pPr>
              <w:jc w:val="center"/>
            </w:pPr>
            <w:r>
              <w:rPr>
                <w:rFonts w:ascii="宋体" w:hAnsi="宋体" w:eastAsia="宋体"/>
                <w:sz w:val="16"/>
              </w:rPr>
              <w:t>5</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0EFBA">
            <w:pPr>
              <w:jc w:val="center"/>
            </w:pPr>
          </w:p>
        </w:tc>
      </w:tr>
      <w:tr w14:paraId="08E207B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EBBAB74"/>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5A12ED6"/>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E4D17">
            <w:pPr>
              <w:jc w:val="center"/>
            </w:pPr>
            <w:r>
              <w:rPr>
                <w:rFonts w:ascii="宋体" w:hAnsi="宋体" w:eastAsia="宋体"/>
                <w:sz w:val="16"/>
              </w:rPr>
              <w:t>质量指标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69EF085">
            <w:pPr>
              <w:jc w:val="center"/>
            </w:pPr>
            <w:r>
              <w:rPr>
                <w:rFonts w:ascii="宋体" w:hAnsi="宋体" w:eastAsia="宋体"/>
                <w:sz w:val="16"/>
              </w:rPr>
              <w:t>2024年重复参保人数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D2E1F9">
            <w:pPr>
              <w:jc w:val="center"/>
            </w:pPr>
            <w:r>
              <w:rPr>
                <w:rFonts w:ascii="宋体" w:hAnsi="宋体" w:eastAsia="宋体"/>
                <w:sz w:val="16"/>
              </w:rPr>
              <w:t>=0人</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CF5407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BC676A">
            <w:pPr>
              <w:jc w:val="center"/>
            </w:pPr>
            <w:r>
              <w:rPr>
                <w:rFonts w:ascii="宋体" w:hAnsi="宋体" w:eastAsia="宋体"/>
                <w:sz w:val="16"/>
              </w:rPr>
              <w:t>0人</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627E218">
            <w:pPr>
              <w:jc w:val="center"/>
            </w:pPr>
            <w:r>
              <w:rPr>
                <w:rFonts w:ascii="宋体" w:hAnsi="宋体" w:eastAsia="宋体"/>
                <w:sz w:val="16"/>
              </w:rPr>
              <w:t>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4A3C9AC">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C0ABBB2">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1D69BBAC">
            <w:pPr>
              <w:jc w:val="center"/>
            </w:pPr>
            <w:r>
              <w:rPr>
                <w:rFonts w:ascii="宋体" w:hAnsi="宋体" w:eastAsia="宋体"/>
                <w:sz w:val="16"/>
              </w:rPr>
              <w:t>=0人</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46469">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226370DD">
            <w:pPr>
              <w:jc w:val="center"/>
            </w:pPr>
            <w:r>
              <w:rPr>
                <w:rFonts w:ascii="宋体" w:hAnsi="宋体" w:eastAsia="宋体"/>
                <w:sz w:val="16"/>
              </w:rPr>
              <w:t>5</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FBAF0">
            <w:pPr>
              <w:jc w:val="center"/>
            </w:pPr>
          </w:p>
        </w:tc>
      </w:tr>
      <w:tr w14:paraId="38BC37F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7F24D91"/>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1960E724"/>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10A5DB13"/>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06494F7">
            <w:pPr>
              <w:jc w:val="center"/>
            </w:pPr>
            <w:r>
              <w:rPr>
                <w:rFonts w:ascii="宋体" w:hAnsi="宋体" w:eastAsia="宋体"/>
                <w:sz w:val="16"/>
              </w:rPr>
              <w:t>2024年虚报参保人数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15F806">
            <w:pPr>
              <w:jc w:val="center"/>
            </w:pPr>
            <w:r>
              <w:rPr>
                <w:rFonts w:ascii="宋体" w:hAnsi="宋体" w:eastAsia="宋体"/>
                <w:sz w:val="16"/>
              </w:rPr>
              <w:t>=0人</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C4F3873">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D4DFBE">
            <w:pPr>
              <w:jc w:val="center"/>
            </w:pPr>
            <w:r>
              <w:rPr>
                <w:rFonts w:ascii="宋体" w:hAnsi="宋体" w:eastAsia="宋体"/>
                <w:sz w:val="16"/>
              </w:rPr>
              <w:t>-</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1CB93B6">
            <w:pPr>
              <w:jc w:val="center"/>
            </w:pPr>
            <w:r>
              <w:rPr>
                <w:rFonts w:ascii="宋体" w:hAnsi="宋体" w:eastAsia="宋体"/>
                <w:sz w:val="16"/>
              </w:rPr>
              <w:t>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5F4C41E">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C1D9F3D">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6DC7C6CA">
            <w:pPr>
              <w:jc w:val="center"/>
            </w:pPr>
            <w:r>
              <w:rPr>
                <w:rFonts w:ascii="宋体" w:hAnsi="宋体" w:eastAsia="宋体"/>
                <w:sz w:val="16"/>
              </w:rPr>
              <w:t>=0人</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0DA3">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7D544577">
            <w:pPr>
              <w:jc w:val="center"/>
            </w:pPr>
            <w:r>
              <w:rPr>
                <w:rFonts w:ascii="宋体" w:hAnsi="宋体" w:eastAsia="宋体"/>
                <w:sz w:val="16"/>
              </w:rPr>
              <w:t>5</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CA98">
            <w:pPr>
              <w:jc w:val="center"/>
            </w:pPr>
          </w:p>
        </w:tc>
      </w:tr>
      <w:tr w14:paraId="12B506C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26EFF5F"/>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594A665"/>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59A6EE9">
            <w:pPr>
              <w:jc w:val="center"/>
            </w:pPr>
            <w:r>
              <w:rPr>
                <w:rFonts w:ascii="宋体" w:hAnsi="宋体" w:eastAsia="宋体"/>
                <w:sz w:val="16"/>
              </w:rPr>
              <w:t>时效指标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9AC7111">
            <w:pPr>
              <w:jc w:val="center"/>
            </w:pPr>
            <w:r>
              <w:rPr>
                <w:rFonts w:ascii="宋体" w:hAnsi="宋体" w:eastAsia="宋体"/>
                <w:sz w:val="16"/>
              </w:rPr>
              <w:t>各项医疗险种征缴工作按期及时完成率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330E1D">
            <w:pPr>
              <w:jc w:val="center"/>
            </w:pPr>
            <w:r>
              <w:rPr>
                <w:rFonts w:ascii="宋体" w:hAnsi="宋体" w:eastAsia="宋体"/>
                <w:sz w:val="16"/>
              </w:rPr>
              <w:t>&gt;=90%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AC445A9">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D3BD5C">
            <w:pPr>
              <w:jc w:val="center"/>
            </w:pPr>
            <w:r>
              <w:rPr>
                <w:rFonts w:ascii="宋体" w:hAnsi="宋体" w:eastAsia="宋体"/>
                <w:sz w:val="16"/>
              </w:rPr>
              <w:t>95%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6731472">
            <w:pPr>
              <w:jc w:val="center"/>
            </w:pPr>
            <w:r>
              <w:rPr>
                <w:rFonts w:ascii="宋体" w:hAnsi="宋体" w:eastAsia="宋体"/>
                <w:sz w:val="16"/>
              </w:rPr>
              <w:t>6</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ADFD5E8">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124EAB9">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3D234DB8">
            <w:pPr>
              <w:jc w:val="center"/>
            </w:pPr>
            <w:r>
              <w:rPr>
                <w:rFonts w:ascii="宋体" w:hAnsi="宋体" w:eastAsia="宋体"/>
                <w:sz w:val="16"/>
              </w:rPr>
              <w:t>=100%</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D823A">
            <w:pPr>
              <w:jc w:val="center"/>
            </w:pPr>
            <w:r>
              <w:rPr>
                <w:rFonts w:ascii="宋体" w:hAnsi="宋体" w:eastAsia="宋体"/>
                <w:sz w:val="16"/>
              </w:rPr>
              <w:t>111.11%</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24F47A1F">
            <w:pPr>
              <w:jc w:val="center"/>
            </w:pPr>
            <w:r>
              <w:rPr>
                <w:rFonts w:ascii="宋体" w:hAnsi="宋体" w:eastAsia="宋体"/>
                <w:sz w:val="16"/>
              </w:rPr>
              <w:t>5.33</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99F82">
            <w:pPr>
              <w:jc w:val="center"/>
            </w:pPr>
            <w:r>
              <w:rPr>
                <w:rFonts w:ascii="宋体" w:hAnsi="宋体" w:eastAsia="宋体"/>
                <w:sz w:val="16"/>
              </w:rPr>
              <w:t>偏差原因：按照医保报销政策的要求及工作方式的改进，本年度医保报销结算采用一站式结算方式，导致医保报销结算更加及时有效。改进措施：从严从高设置项目绩效指标。</w:t>
            </w:r>
          </w:p>
        </w:tc>
      </w:tr>
      <w:tr w14:paraId="49D49F2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B50A73F"/>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BE13104">
            <w:pPr>
              <w:jc w:val="center"/>
            </w:pPr>
            <w:r>
              <w:rPr>
                <w:rFonts w:ascii="宋体" w:hAnsi="宋体" w:eastAsia="宋体"/>
                <w:sz w:val="16"/>
              </w:rPr>
              <w:t>成本指标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41A48F3">
            <w:pPr>
              <w:jc w:val="center"/>
            </w:pPr>
            <w:r>
              <w:rPr>
                <w:rFonts w:ascii="宋体" w:hAnsi="宋体" w:eastAsia="宋体"/>
                <w:sz w:val="16"/>
              </w:rPr>
              <w:t>经济成本指标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3C7E975">
            <w:pPr>
              <w:jc w:val="center"/>
            </w:pPr>
            <w:r>
              <w:rPr>
                <w:rFonts w:ascii="宋体" w:hAnsi="宋体" w:eastAsia="宋体"/>
                <w:sz w:val="16"/>
              </w:rPr>
              <w:t>人均运转经费数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4348C7">
            <w:pPr>
              <w:jc w:val="center"/>
            </w:pPr>
            <w:r>
              <w:rPr>
                <w:rFonts w:ascii="宋体" w:hAnsi="宋体" w:eastAsia="宋体"/>
                <w:sz w:val="16"/>
              </w:rPr>
              <w:t>&lt;=0.23万元</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5E6168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AFC367">
            <w:pPr>
              <w:jc w:val="center"/>
            </w:pPr>
            <w:r>
              <w:rPr>
                <w:rFonts w:ascii="宋体" w:hAnsi="宋体" w:eastAsia="宋体"/>
                <w:sz w:val="16"/>
              </w:rPr>
              <w:t>-</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2409657">
            <w:pPr>
              <w:jc w:val="center"/>
            </w:pPr>
            <w:r>
              <w:rPr>
                <w:rFonts w:ascii="宋体" w:hAnsi="宋体" w:eastAsia="宋体"/>
                <w:sz w:val="16"/>
              </w:rPr>
              <w:t>20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837EDFF">
            <w:pPr>
              <w:jc w:val="center"/>
            </w:pPr>
            <w:r>
              <w:rPr>
                <w:rFonts w:ascii="宋体" w:hAnsi="宋体" w:eastAsia="宋体"/>
                <w:sz w:val="16"/>
              </w:rPr>
              <w:t>按照完成比例赋分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C3F160A">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3A912CE">
            <w:pPr>
              <w:jc w:val="center"/>
            </w:pPr>
            <w:r>
              <w:rPr>
                <w:rFonts w:ascii="宋体" w:hAnsi="宋体" w:eastAsia="宋体"/>
                <w:sz w:val="16"/>
              </w:rPr>
              <w:t>=0.23万元</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76D4">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3F63A647">
            <w:pPr>
              <w:jc w:val="center"/>
            </w:pPr>
            <w:r>
              <w:rPr>
                <w:rFonts w:ascii="宋体" w:hAnsi="宋体" w:eastAsia="宋体"/>
                <w:sz w:val="16"/>
              </w:rPr>
              <w:t>20</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AB9AB">
            <w:pPr>
              <w:jc w:val="center"/>
            </w:pPr>
          </w:p>
        </w:tc>
      </w:tr>
      <w:tr w14:paraId="4AC00A71">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17425CF"/>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FCA10DF">
            <w:pPr>
              <w:jc w:val="center"/>
            </w:pPr>
            <w:r>
              <w:rPr>
                <w:rFonts w:ascii="宋体" w:hAnsi="宋体" w:eastAsia="宋体"/>
                <w:sz w:val="16"/>
              </w:rPr>
              <w:t>效益指标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8302A90">
            <w:pPr>
              <w:jc w:val="center"/>
            </w:pPr>
            <w:r>
              <w:rPr>
                <w:rFonts w:ascii="宋体" w:hAnsi="宋体" w:eastAsia="宋体"/>
                <w:sz w:val="16"/>
              </w:rPr>
              <w:t>社会效益指标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A8546D5">
            <w:pPr>
              <w:jc w:val="center"/>
            </w:pPr>
            <w:r>
              <w:rPr>
                <w:rFonts w:ascii="宋体" w:hAnsi="宋体" w:eastAsia="宋体"/>
                <w:sz w:val="16"/>
              </w:rPr>
              <w:t>减轻参保人员就医经济负担</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CC0FA2">
            <w:pPr>
              <w:jc w:val="center"/>
            </w:pPr>
            <w:r>
              <w:rPr>
                <w:rFonts w:ascii="宋体" w:hAnsi="宋体" w:eastAsia="宋体"/>
                <w:sz w:val="16"/>
              </w:rPr>
              <w:t>明显减轻</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E02DAA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73E88D">
            <w:pPr>
              <w:jc w:val="center"/>
            </w:pPr>
            <w:r>
              <w:rPr>
                <w:rFonts w:ascii="宋体" w:hAnsi="宋体" w:eastAsia="宋体"/>
                <w:sz w:val="16"/>
              </w:rPr>
              <w:t>达到“明显减轻”目标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A71386C">
            <w:pPr>
              <w:jc w:val="center"/>
            </w:pPr>
            <w:r>
              <w:rPr>
                <w:rFonts w:ascii="宋体" w:hAnsi="宋体" w:eastAsia="宋体"/>
                <w:sz w:val="16"/>
              </w:rPr>
              <w:t>20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0C53FEC">
            <w:pPr>
              <w:jc w:val="center"/>
            </w:pPr>
            <w:r>
              <w:rPr>
                <w:rFonts w:ascii="宋体" w:hAnsi="宋体" w:eastAsia="宋体"/>
                <w:sz w:val="16"/>
              </w:rPr>
              <w:t>按评判等级赋分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B953B1D">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5C475B96">
            <w:pPr>
              <w:jc w:val="center"/>
            </w:pPr>
            <w:r>
              <w:rPr>
                <w:rFonts w:ascii="宋体" w:hAnsi="宋体" w:eastAsia="宋体"/>
                <w:sz w:val="16"/>
              </w:rPr>
              <w:t>明显减轻</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4D6EF">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0C04203C">
            <w:pPr>
              <w:jc w:val="center"/>
            </w:pPr>
            <w:r>
              <w:rPr>
                <w:rFonts w:ascii="宋体" w:hAnsi="宋体" w:eastAsia="宋体"/>
                <w:sz w:val="16"/>
              </w:rPr>
              <w:t>20</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40D44">
            <w:pPr>
              <w:jc w:val="center"/>
            </w:pPr>
            <w:r>
              <w:rPr>
                <w:rFonts w:ascii="宋体" w:hAnsi="宋体" w:eastAsia="宋体"/>
                <w:sz w:val="16"/>
              </w:rPr>
              <w:t>本年度医疗保险报销政策有所变动，报销比例及大病报销范围增大，更好</w:t>
            </w:r>
            <w:r>
              <w:rPr>
                <w:rFonts w:hint="eastAsia" w:ascii="宋体" w:hAnsi="宋体"/>
                <w:sz w:val="16"/>
                <w:lang w:eastAsia="zh-CN"/>
              </w:rPr>
              <w:t>地</w:t>
            </w:r>
            <w:r>
              <w:rPr>
                <w:rFonts w:ascii="宋体" w:hAnsi="宋体" w:eastAsia="宋体"/>
                <w:sz w:val="16"/>
              </w:rPr>
              <w:t>减轻了参保人员的就医经济负担</w:t>
            </w:r>
          </w:p>
        </w:tc>
      </w:tr>
      <w:tr w14:paraId="4AC551A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02CA3C7"/>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0D36ADE">
            <w:pPr>
              <w:jc w:val="center"/>
            </w:pPr>
            <w:r>
              <w:rPr>
                <w:rFonts w:ascii="宋体" w:hAnsi="宋体" w:eastAsia="宋体"/>
                <w:sz w:val="16"/>
              </w:rPr>
              <w:t>满意度指标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9F841E5">
            <w:pPr>
              <w:jc w:val="center"/>
            </w:pPr>
            <w:r>
              <w:rPr>
                <w:rFonts w:ascii="宋体" w:hAnsi="宋体" w:eastAsia="宋体"/>
                <w:sz w:val="16"/>
              </w:rPr>
              <w:t>满意度指标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CB18BF1">
            <w:pPr>
              <w:jc w:val="center"/>
            </w:pPr>
            <w:r>
              <w:rPr>
                <w:rFonts w:ascii="宋体" w:hAnsi="宋体" w:eastAsia="宋体"/>
                <w:sz w:val="16"/>
              </w:rPr>
              <w:t>基本医疗保险参保群众满意度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C771D5">
            <w:pPr>
              <w:jc w:val="center"/>
            </w:pPr>
            <w:r>
              <w:rPr>
                <w:rFonts w:ascii="宋体" w:hAnsi="宋体" w:eastAsia="宋体"/>
                <w:sz w:val="16"/>
              </w:rPr>
              <w:t>&gt;=90%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0E544E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73E581">
            <w:pPr>
              <w:jc w:val="center"/>
            </w:pPr>
            <w:r>
              <w:rPr>
                <w:rFonts w:ascii="宋体" w:hAnsi="宋体" w:eastAsia="宋体"/>
                <w:sz w:val="16"/>
              </w:rPr>
              <w:t>96%</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C6E4973">
            <w:pPr>
              <w:jc w:val="center"/>
            </w:pPr>
            <w:r>
              <w:rPr>
                <w:rFonts w:ascii="宋体" w:hAnsi="宋体" w:eastAsia="宋体"/>
                <w:sz w:val="16"/>
              </w:rPr>
              <w:t>10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59DAC44">
            <w:pPr>
              <w:jc w:val="center"/>
            </w:pPr>
            <w:r>
              <w:rPr>
                <w:rFonts w:ascii="宋体" w:hAnsi="宋体" w:eastAsia="宋体"/>
                <w:sz w:val="16"/>
              </w:rPr>
              <w:t>满意度赋分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B8605C8">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656452D7">
            <w:pPr>
              <w:jc w:val="center"/>
            </w:pPr>
            <w:r>
              <w:rPr>
                <w:rFonts w:ascii="宋体" w:hAnsi="宋体" w:eastAsia="宋体"/>
                <w:sz w:val="16"/>
              </w:rPr>
              <w:t>=96.47%</w:t>
            </w:r>
          </w:p>
        </w:tc>
        <w:tc>
          <w:tcPr>
            <w:tcW w:w="6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5A878">
            <w:pPr>
              <w:jc w:val="center"/>
            </w:pPr>
            <w:r>
              <w:rPr>
                <w:rFonts w:ascii="宋体" w:hAnsi="宋体" w:eastAsia="宋体"/>
                <w:sz w:val="16"/>
              </w:rPr>
              <w:t>107.19%</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172A6F77">
            <w:pPr>
              <w:jc w:val="center"/>
            </w:pPr>
            <w:r>
              <w:rPr>
                <w:rFonts w:ascii="宋体" w:hAnsi="宋体" w:eastAsia="宋体"/>
                <w:sz w:val="16"/>
              </w:rPr>
              <w:t>10</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0FCC8">
            <w:pPr>
              <w:jc w:val="center"/>
            </w:pPr>
            <w:r>
              <w:rPr>
                <w:rFonts w:ascii="宋体" w:hAnsi="宋体" w:eastAsia="宋体"/>
                <w:sz w:val="16"/>
              </w:rPr>
              <w:t>偏差原因：本年度医保政策变动，参保补助对象在参保缴费、医疗费用报销方面大家的认可度有所提升。改进措施：从严从高设置项目绩效目标。</w:t>
            </w:r>
          </w:p>
        </w:tc>
      </w:tr>
      <w:tr w14:paraId="18882FD4">
        <w:tblPrEx>
          <w:tblCellMar>
            <w:top w:w="0" w:type="dxa"/>
            <w:left w:w="108" w:type="dxa"/>
            <w:bottom w:w="0" w:type="dxa"/>
            <w:right w:w="108" w:type="dxa"/>
          </w:tblCellMar>
        </w:tblPrEx>
        <w:tc>
          <w:tcPr>
            <w:tcW w:w="244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89C34D">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96DBA13"/>
        </w:tc>
        <w:tc>
          <w:tcPr>
            <w:tcW w:w="601" w:type="dxa"/>
            <w:tcBorders>
              <w:top w:val="single" w:color="auto" w:sz="10" w:space="0"/>
              <w:left w:val="single" w:color="auto" w:sz="10" w:space="0"/>
              <w:bottom w:val="single" w:color="auto" w:sz="10" w:space="0"/>
              <w:right w:val="single" w:color="auto" w:sz="10" w:space="0"/>
              <w:insideV w:val="single" w:sz="10" w:space="0"/>
            </w:tcBorders>
          </w:tcPr>
          <w:p w14:paraId="2222B0D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4FABD58"/>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DE84EA0">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tcPr>
          <w:p w14:paraId="656CBB14"/>
        </w:tc>
        <w:tc>
          <w:tcPr>
            <w:tcW w:w="601" w:type="dxa"/>
            <w:tcBorders>
              <w:top w:val="single" w:color="auto" w:sz="10" w:space="0"/>
              <w:left w:val="single" w:color="auto" w:sz="10" w:space="0"/>
              <w:bottom w:val="single" w:color="auto" w:sz="10" w:space="0"/>
              <w:right w:val="single" w:color="auto" w:sz="10" w:space="0"/>
              <w:insideV w:val="single" w:sz="10" w:space="0"/>
            </w:tcBorders>
          </w:tcPr>
          <w:p w14:paraId="3CF6D743"/>
        </w:tc>
        <w:tc>
          <w:tcPr>
            <w:tcW w:w="685" w:type="dxa"/>
            <w:tcBorders>
              <w:top w:val="single" w:color="auto" w:sz="10" w:space="0"/>
              <w:left w:val="single" w:color="auto" w:sz="10" w:space="0"/>
              <w:bottom w:val="single" w:color="auto" w:sz="10" w:space="0"/>
              <w:right w:val="single" w:color="auto" w:sz="10" w:space="0"/>
              <w:insideV w:val="single" w:sz="10" w:space="0"/>
            </w:tcBorders>
          </w:tcPr>
          <w:p w14:paraId="685FD6D1"/>
        </w:tc>
        <w:tc>
          <w:tcPr>
            <w:tcW w:w="600" w:type="dxa"/>
            <w:gridSpan w:val="2"/>
            <w:tcBorders>
              <w:top w:val="single" w:color="auto" w:sz="10" w:space="0"/>
              <w:left w:val="single" w:color="auto" w:sz="10" w:space="0"/>
              <w:bottom w:val="single" w:color="auto" w:sz="10" w:space="0"/>
              <w:right w:val="single" w:color="auto" w:sz="10" w:space="0"/>
              <w:insideV w:val="single" w:sz="10" w:space="0"/>
            </w:tcBorders>
          </w:tcPr>
          <w:p w14:paraId="155D552A"/>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4FA60AFB">
            <w:pPr>
              <w:jc w:val="center"/>
            </w:pPr>
            <w:r>
              <w:rPr>
                <w:rFonts w:ascii="宋体" w:hAnsi="宋体" w:eastAsia="宋体"/>
                <w:sz w:val="16"/>
              </w:rPr>
              <w:t>99.02分</w:t>
            </w:r>
          </w:p>
        </w:tc>
        <w:tc>
          <w:tcPr>
            <w:tcW w:w="882" w:type="dxa"/>
            <w:gridSpan w:val="2"/>
            <w:tcBorders>
              <w:top w:val="single" w:color="auto" w:sz="10" w:space="0"/>
              <w:left w:val="single" w:color="auto" w:sz="10" w:space="0"/>
              <w:bottom w:val="single" w:color="auto" w:sz="10" w:space="0"/>
              <w:right w:val="single" w:color="auto" w:sz="10" w:space="0"/>
              <w:insideV w:val="single" w:sz="10" w:space="0"/>
            </w:tcBorders>
          </w:tcPr>
          <w:p w14:paraId="22162100"/>
        </w:tc>
      </w:tr>
    </w:tbl>
    <w:p w14:paraId="2F20A783">
      <w:r>
        <w:br w:type="page"/>
      </w:r>
    </w:p>
    <w:p w14:paraId="53FD5DAC">
      <w:pPr>
        <w:spacing w:line="640" w:lineRule="exact"/>
        <w:ind w:firstLine="640"/>
        <w:jc w:val="both"/>
        <w:outlineLvl w:val="2"/>
      </w:pPr>
      <w:r>
        <w:rPr>
          <w:rFonts w:ascii="黑体" w:hAnsi="黑体" w:eastAsia="黑体"/>
          <w:sz w:val="32"/>
        </w:rPr>
        <w:t>十二、其他需说明的事项</w:t>
      </w:r>
    </w:p>
    <w:p w14:paraId="03E2CA2F">
      <w:pPr>
        <w:spacing w:line="580" w:lineRule="exact"/>
        <w:ind w:firstLine="640"/>
        <w:jc w:val="both"/>
      </w:pPr>
      <w:r>
        <w:rPr>
          <w:rFonts w:ascii="仿宋_GB2312" w:hAnsi="仿宋_GB2312" w:eastAsia="仿宋_GB2312"/>
          <w:b w:val="0"/>
          <w:sz w:val="32"/>
        </w:rPr>
        <w:t>本部门无其他需说明的事项。</w:t>
      </w:r>
    </w:p>
    <w:p w14:paraId="7F0266CC">
      <w:r>
        <w:br w:type="page"/>
      </w:r>
    </w:p>
    <w:p w14:paraId="4F2F0CD4">
      <w:pPr>
        <w:spacing w:line="240" w:lineRule="auto"/>
        <w:jc w:val="center"/>
        <w:outlineLvl w:val="1"/>
      </w:pPr>
      <w:r>
        <w:rPr>
          <w:rFonts w:ascii="黑体" w:hAnsi="黑体" w:eastAsia="黑体"/>
          <w:sz w:val="32"/>
        </w:rPr>
        <w:t>第三部分 专业名词解释</w:t>
      </w:r>
    </w:p>
    <w:p w14:paraId="4361CCA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B29CB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B68C84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A321EC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05BFF4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FDC118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1A7C74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203DB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D48C3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C6B26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421118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5ECD51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FFFCF6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F5A866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CB957A">
      <w:r>
        <w:br w:type="page"/>
      </w:r>
    </w:p>
    <w:p w14:paraId="542E143D">
      <w:pPr>
        <w:spacing w:line="240" w:lineRule="auto"/>
        <w:jc w:val="center"/>
        <w:outlineLvl w:val="1"/>
      </w:pPr>
      <w:r>
        <w:rPr>
          <w:rFonts w:ascii="黑体" w:hAnsi="黑体" w:eastAsia="黑体"/>
          <w:sz w:val="32"/>
        </w:rPr>
        <w:t>第四部分 部门决算报表（见附表）</w:t>
      </w:r>
    </w:p>
    <w:p w14:paraId="2015AE8F">
      <w:pPr>
        <w:spacing w:line="240" w:lineRule="auto"/>
        <w:ind w:firstLine="640"/>
        <w:jc w:val="both"/>
      </w:pPr>
      <w:r>
        <w:rPr>
          <w:rFonts w:ascii="仿宋_GB2312" w:hAnsi="仿宋_GB2312" w:eastAsia="仿宋_GB2312"/>
          <w:b w:val="0"/>
          <w:sz w:val="32"/>
        </w:rPr>
        <w:t>一、《收入支出决算总表》</w:t>
      </w:r>
    </w:p>
    <w:p w14:paraId="134FB9B8">
      <w:pPr>
        <w:spacing w:line="240" w:lineRule="auto"/>
        <w:ind w:firstLine="640"/>
        <w:jc w:val="both"/>
      </w:pPr>
      <w:r>
        <w:rPr>
          <w:rFonts w:ascii="仿宋_GB2312" w:hAnsi="仿宋_GB2312" w:eastAsia="仿宋_GB2312"/>
          <w:b w:val="0"/>
          <w:sz w:val="32"/>
        </w:rPr>
        <w:t>二、《收入决算表》</w:t>
      </w:r>
    </w:p>
    <w:p w14:paraId="0D4B5964">
      <w:pPr>
        <w:spacing w:line="240" w:lineRule="auto"/>
        <w:ind w:firstLine="640"/>
        <w:jc w:val="both"/>
      </w:pPr>
      <w:r>
        <w:rPr>
          <w:rFonts w:ascii="仿宋_GB2312" w:hAnsi="仿宋_GB2312" w:eastAsia="仿宋_GB2312"/>
          <w:b w:val="0"/>
          <w:sz w:val="32"/>
        </w:rPr>
        <w:t>三、《支出决算表》</w:t>
      </w:r>
    </w:p>
    <w:p w14:paraId="55F458C2">
      <w:pPr>
        <w:spacing w:line="240" w:lineRule="auto"/>
        <w:ind w:firstLine="640"/>
        <w:jc w:val="both"/>
      </w:pPr>
      <w:r>
        <w:rPr>
          <w:rFonts w:ascii="仿宋_GB2312" w:hAnsi="仿宋_GB2312" w:eastAsia="仿宋_GB2312"/>
          <w:b w:val="0"/>
          <w:sz w:val="32"/>
        </w:rPr>
        <w:t>四、《财政拨款收入支出决算总表》</w:t>
      </w:r>
    </w:p>
    <w:p w14:paraId="6784A6CB">
      <w:pPr>
        <w:spacing w:line="240" w:lineRule="auto"/>
        <w:ind w:firstLine="640"/>
        <w:jc w:val="both"/>
      </w:pPr>
      <w:r>
        <w:rPr>
          <w:rFonts w:ascii="仿宋_GB2312" w:hAnsi="仿宋_GB2312" w:eastAsia="仿宋_GB2312"/>
          <w:b w:val="0"/>
          <w:sz w:val="32"/>
        </w:rPr>
        <w:t>五、《一般公共预算财政拨款支出决算表》</w:t>
      </w:r>
    </w:p>
    <w:p w14:paraId="5C672C9F">
      <w:pPr>
        <w:spacing w:line="240" w:lineRule="auto"/>
        <w:ind w:firstLine="640"/>
        <w:jc w:val="both"/>
      </w:pPr>
      <w:r>
        <w:rPr>
          <w:rFonts w:ascii="仿宋_GB2312" w:hAnsi="仿宋_GB2312" w:eastAsia="仿宋_GB2312"/>
          <w:b w:val="0"/>
          <w:sz w:val="32"/>
        </w:rPr>
        <w:t>六、《一般公共预算财政拨款基本支出决算表》</w:t>
      </w:r>
    </w:p>
    <w:p w14:paraId="0C91D6C4">
      <w:pPr>
        <w:spacing w:line="240" w:lineRule="auto"/>
        <w:ind w:firstLine="640"/>
        <w:jc w:val="both"/>
      </w:pPr>
      <w:r>
        <w:rPr>
          <w:rFonts w:ascii="仿宋_GB2312" w:hAnsi="仿宋_GB2312" w:eastAsia="仿宋_GB2312"/>
          <w:b w:val="0"/>
          <w:sz w:val="32"/>
        </w:rPr>
        <w:t>七、《政府性基金预算财政拨款收入支出决算表》</w:t>
      </w:r>
    </w:p>
    <w:p w14:paraId="66774BE5">
      <w:pPr>
        <w:spacing w:line="240" w:lineRule="auto"/>
        <w:ind w:firstLine="640"/>
        <w:jc w:val="both"/>
      </w:pPr>
      <w:r>
        <w:rPr>
          <w:rFonts w:ascii="仿宋_GB2312" w:hAnsi="仿宋_GB2312" w:eastAsia="仿宋_GB2312"/>
          <w:b w:val="0"/>
          <w:sz w:val="32"/>
        </w:rPr>
        <w:t>八、《国有资本经营预算财政拨款收入支出决算表》</w:t>
      </w:r>
    </w:p>
    <w:p w14:paraId="6F4141AA">
      <w:pPr>
        <w:spacing w:line="240" w:lineRule="auto"/>
        <w:ind w:firstLine="640"/>
        <w:jc w:val="both"/>
      </w:pPr>
      <w:r>
        <w:rPr>
          <w:rFonts w:ascii="仿宋_GB2312" w:hAnsi="仿宋_GB2312" w:eastAsia="仿宋_GB2312"/>
          <w:b w:val="0"/>
          <w:sz w:val="32"/>
        </w:rPr>
        <w:t>九、《财政拨款“三公”经费支出决算表》</w:t>
      </w:r>
    </w:p>
    <w:p w14:paraId="61CD1763">
      <w:pPr>
        <w:spacing w:line="240" w:lineRule="auto"/>
        <w:ind w:firstLine="640"/>
        <w:jc w:val="both"/>
      </w:pPr>
    </w:p>
    <w:p w14:paraId="07DDBC05">
      <w:pPr>
        <w:spacing w:line="240" w:lineRule="auto"/>
        <w:ind w:firstLine="640"/>
        <w:jc w:val="both"/>
      </w:pPr>
    </w:p>
    <w:p w14:paraId="35CB0B68">
      <w:pPr>
        <w:spacing w:line="240" w:lineRule="auto"/>
        <w:ind w:firstLine="640"/>
        <w:jc w:val="both"/>
      </w:pPr>
    </w:p>
    <w:p w14:paraId="7B6646CE">
      <w:pPr>
        <w:spacing w:line="240" w:lineRule="auto"/>
        <w:ind w:firstLine="640"/>
        <w:jc w:val="both"/>
      </w:pPr>
    </w:p>
    <w:p w14:paraId="207BB4A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CFD3A3E"/>
    <w:rsid w:val="5FA17648"/>
    <w:rsid w:val="5FD320BD"/>
    <w:rsid w:val="60DE4D57"/>
    <w:rsid w:val="613409CB"/>
    <w:rsid w:val="61A46A97"/>
    <w:rsid w:val="62DD7D21"/>
    <w:rsid w:val="65B56616"/>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6011</Words>
  <Characters>6830</Characters>
  <Lines>0</Lines>
  <Paragraphs>0</Paragraphs>
  <TotalTime>1</TotalTime>
  <ScaleCrop>false</ScaleCrop>
  <LinksUpToDate>false</LinksUpToDate>
  <CharactersWithSpaces>6838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2025-09-24T04:37:39Z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