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E4861"/>
    <w:p w14:paraId="3AA835BC">
      <w:pPr>
        <w:spacing w:line="540" w:lineRule="exact"/>
        <w:jc w:val="center"/>
        <w:rPr>
          <w:rFonts w:eastAsia="华文中宋"/>
          <w:b/>
          <w:kern w:val="0"/>
          <w:sz w:val="52"/>
          <w:szCs w:val="52"/>
        </w:rPr>
      </w:pPr>
    </w:p>
    <w:p w14:paraId="19424609">
      <w:pPr>
        <w:spacing w:line="540" w:lineRule="exact"/>
        <w:rPr>
          <w:rFonts w:eastAsia="华文中宋"/>
          <w:b/>
          <w:kern w:val="0"/>
          <w:sz w:val="52"/>
          <w:szCs w:val="52"/>
        </w:rPr>
      </w:pPr>
    </w:p>
    <w:p w14:paraId="3D2BF204">
      <w:pPr>
        <w:spacing w:line="540" w:lineRule="exact"/>
        <w:jc w:val="center"/>
        <w:rPr>
          <w:rFonts w:eastAsia="华文中宋"/>
          <w:b/>
          <w:kern w:val="0"/>
          <w:sz w:val="52"/>
          <w:szCs w:val="52"/>
        </w:rPr>
      </w:pPr>
    </w:p>
    <w:p w14:paraId="2D47AD89">
      <w:pPr>
        <w:spacing w:line="540" w:lineRule="exact"/>
        <w:jc w:val="center"/>
        <w:rPr>
          <w:rFonts w:eastAsia="华文中宋"/>
          <w:b/>
          <w:kern w:val="0"/>
          <w:sz w:val="52"/>
          <w:szCs w:val="52"/>
        </w:rPr>
      </w:pPr>
    </w:p>
    <w:p w14:paraId="0CF3F4A1">
      <w:pPr>
        <w:spacing w:line="540" w:lineRule="exact"/>
        <w:jc w:val="center"/>
        <w:rPr>
          <w:rFonts w:eastAsia="方正小标宋_GBK"/>
          <w:kern w:val="0"/>
          <w:sz w:val="48"/>
          <w:szCs w:val="48"/>
        </w:rPr>
      </w:pPr>
      <w:r>
        <w:rPr>
          <w:rFonts w:eastAsia="方正小标宋_GBK"/>
          <w:kern w:val="0"/>
          <w:sz w:val="48"/>
          <w:szCs w:val="48"/>
        </w:rPr>
        <w:t>巴财社[2023]83号关于提前下达2024年自治区财政残疾人事业发展补助资金项目支出绩效评价</w:t>
      </w:r>
    </w:p>
    <w:p w14:paraId="7F158D62">
      <w:pPr>
        <w:spacing w:line="540" w:lineRule="exact"/>
        <w:jc w:val="center"/>
        <w:rPr>
          <w:rFonts w:eastAsia="方正小标宋_GBK"/>
          <w:kern w:val="0"/>
          <w:sz w:val="48"/>
          <w:szCs w:val="48"/>
        </w:rPr>
      </w:pPr>
      <w:r>
        <w:rPr>
          <w:rFonts w:eastAsia="方正小标宋_GBK"/>
          <w:kern w:val="0"/>
          <w:sz w:val="48"/>
          <w:szCs w:val="48"/>
        </w:rPr>
        <w:t>报告</w:t>
      </w:r>
    </w:p>
    <w:p w14:paraId="54151D6D">
      <w:pPr>
        <w:spacing w:line="540" w:lineRule="exact"/>
        <w:jc w:val="center"/>
        <w:rPr>
          <w:rFonts w:eastAsia="华文中宋"/>
          <w:b/>
          <w:kern w:val="0"/>
          <w:sz w:val="52"/>
          <w:szCs w:val="52"/>
        </w:rPr>
      </w:pPr>
    </w:p>
    <w:p w14:paraId="0D1E53F3">
      <w:pPr>
        <w:spacing w:line="540" w:lineRule="exact"/>
        <w:jc w:val="center"/>
        <w:rPr>
          <w:rFonts w:eastAsia="仿宋_GB2312"/>
          <w:kern w:val="0"/>
          <w:sz w:val="36"/>
          <w:szCs w:val="36"/>
        </w:rPr>
      </w:pPr>
      <w:r>
        <w:rPr>
          <w:rFonts w:eastAsia="仿宋_GB2312"/>
          <w:kern w:val="0"/>
          <w:sz w:val="36"/>
          <w:szCs w:val="36"/>
        </w:rPr>
        <w:t>（2024年度）</w:t>
      </w:r>
    </w:p>
    <w:p w14:paraId="1E8C2E2A">
      <w:pPr>
        <w:spacing w:line="540" w:lineRule="exact"/>
        <w:jc w:val="center"/>
        <w:rPr>
          <w:rFonts w:eastAsia="仿宋_GB2312"/>
          <w:kern w:val="0"/>
          <w:sz w:val="30"/>
          <w:szCs w:val="30"/>
        </w:rPr>
      </w:pPr>
    </w:p>
    <w:p w14:paraId="5F69623F">
      <w:pPr>
        <w:spacing w:line="540" w:lineRule="exact"/>
        <w:jc w:val="center"/>
        <w:rPr>
          <w:rFonts w:eastAsia="仿宋_GB2312"/>
          <w:kern w:val="0"/>
          <w:sz w:val="30"/>
          <w:szCs w:val="30"/>
        </w:rPr>
      </w:pPr>
    </w:p>
    <w:p w14:paraId="0F8DC1AF">
      <w:pPr>
        <w:spacing w:line="540" w:lineRule="exact"/>
        <w:jc w:val="center"/>
        <w:rPr>
          <w:rFonts w:eastAsia="仿宋_GB2312"/>
          <w:kern w:val="0"/>
          <w:sz w:val="30"/>
          <w:szCs w:val="30"/>
        </w:rPr>
      </w:pPr>
    </w:p>
    <w:p w14:paraId="69A13633">
      <w:pPr>
        <w:pStyle w:val="10"/>
        <w:rPr>
          <w:rFonts w:ascii="Times New Roman" w:hAnsi="Times New Roman"/>
        </w:rPr>
      </w:pPr>
    </w:p>
    <w:p w14:paraId="064A2A88">
      <w:pPr>
        <w:spacing w:line="540" w:lineRule="exact"/>
        <w:jc w:val="center"/>
        <w:rPr>
          <w:rFonts w:eastAsia="仿宋_GB2312"/>
          <w:kern w:val="0"/>
          <w:sz w:val="30"/>
          <w:szCs w:val="30"/>
        </w:rPr>
      </w:pPr>
    </w:p>
    <w:p w14:paraId="5E2EE869">
      <w:pPr>
        <w:spacing w:line="540" w:lineRule="exact"/>
        <w:rPr>
          <w:rFonts w:eastAsia="仿宋_GB2312"/>
          <w:kern w:val="0"/>
          <w:sz w:val="30"/>
          <w:szCs w:val="30"/>
        </w:rPr>
      </w:pPr>
    </w:p>
    <w:p w14:paraId="7F1C6E2C">
      <w:pPr>
        <w:spacing w:line="700" w:lineRule="exact"/>
        <w:ind w:left="1436" w:leftChars="684"/>
        <w:jc w:val="left"/>
        <w:rPr>
          <w:rFonts w:eastAsia="仿宋_GB2312"/>
          <w:kern w:val="0"/>
          <w:sz w:val="36"/>
          <w:szCs w:val="36"/>
        </w:rPr>
      </w:pPr>
      <w:r>
        <w:rPr>
          <w:rFonts w:eastAsia="仿宋_GB2312"/>
          <w:kern w:val="0"/>
          <w:sz w:val="36"/>
          <w:szCs w:val="36"/>
        </w:rPr>
        <w:t>项目名称：巴财社[2023]83号关于提前下达2024年自治区财政残疾人事业发展补助资金</w:t>
      </w:r>
    </w:p>
    <w:p w14:paraId="5C53D79F">
      <w:pPr>
        <w:spacing w:line="700" w:lineRule="exact"/>
        <w:ind w:firstLine="1440" w:firstLineChars="4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博湖县残疾人联合会</w:t>
      </w:r>
    </w:p>
    <w:p w14:paraId="24328AFF">
      <w:pPr>
        <w:spacing w:line="700" w:lineRule="exact"/>
        <w:ind w:firstLine="1440" w:firstLineChars="4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博湖县残疾人联合会</w:t>
      </w:r>
    </w:p>
    <w:p w14:paraId="25093315">
      <w:pPr>
        <w:spacing w:line="700" w:lineRule="exact"/>
        <w:ind w:firstLine="1440" w:firstLineChars="4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王贤德</w:t>
      </w:r>
    </w:p>
    <w:p w14:paraId="7E6047FF">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4</w:t>
      </w:r>
      <w:r>
        <w:rPr>
          <w:rFonts w:eastAsia="仿宋_GB2312"/>
          <w:kern w:val="0"/>
          <w:sz w:val="36"/>
          <w:szCs w:val="36"/>
        </w:rPr>
        <w:t>月</w:t>
      </w:r>
      <w:r>
        <w:rPr>
          <w:rFonts w:hint="eastAsia" w:eastAsia="仿宋_GB2312"/>
          <w:kern w:val="0"/>
          <w:sz w:val="36"/>
          <w:szCs w:val="36"/>
        </w:rPr>
        <w:t>25</w:t>
      </w:r>
      <w:r>
        <w:rPr>
          <w:rFonts w:eastAsia="仿宋_GB2312"/>
          <w:kern w:val="0"/>
          <w:sz w:val="36"/>
          <w:szCs w:val="36"/>
        </w:rPr>
        <w:t>日</w:t>
      </w:r>
    </w:p>
    <w:p w14:paraId="1D109ABC">
      <w:pPr>
        <w:spacing w:line="540" w:lineRule="exact"/>
        <w:jc w:val="center"/>
        <w:rPr>
          <w:rFonts w:eastAsia="仿宋_GB2312"/>
          <w:kern w:val="0"/>
          <w:sz w:val="30"/>
          <w:szCs w:val="30"/>
        </w:rPr>
      </w:pPr>
    </w:p>
    <w:p w14:paraId="627EC9DF">
      <w:pPr>
        <w:spacing w:line="560" w:lineRule="exact"/>
        <w:rPr>
          <w:rFonts w:eastAsia="黑体"/>
          <w:bCs/>
          <w:sz w:val="32"/>
          <w:szCs w:val="32"/>
        </w:rPr>
        <w:sectPr>
          <w:pgSz w:w="11906" w:h="16838"/>
          <w:pgMar w:top="1440" w:right="1558" w:bottom="1440" w:left="1800" w:header="851" w:footer="992" w:gutter="0"/>
          <w:cols w:space="425" w:num="1"/>
          <w:docGrid w:type="lines" w:linePitch="312" w:charSpace="0"/>
        </w:sectPr>
      </w:pPr>
    </w:p>
    <w:p w14:paraId="20A31394">
      <w:pPr>
        <w:spacing w:line="560" w:lineRule="exact"/>
        <w:ind w:firstLine="640" w:firstLineChars="200"/>
        <w:rPr>
          <w:rFonts w:eastAsia="黑体"/>
          <w:bCs/>
          <w:sz w:val="32"/>
          <w:szCs w:val="32"/>
        </w:rPr>
      </w:pPr>
      <w:r>
        <w:rPr>
          <w:rFonts w:eastAsia="黑体"/>
          <w:bCs/>
          <w:sz w:val="32"/>
          <w:szCs w:val="32"/>
        </w:rPr>
        <w:t>一、基本情况</w:t>
      </w:r>
    </w:p>
    <w:p w14:paraId="1E5DF26E">
      <w:pPr>
        <w:spacing w:line="560" w:lineRule="exact"/>
        <w:ind w:firstLine="643" w:firstLineChars="200"/>
        <w:rPr>
          <w:rFonts w:eastAsia="楷体_GB2312"/>
          <w:b/>
          <w:bCs/>
          <w:sz w:val="32"/>
          <w:szCs w:val="32"/>
        </w:rPr>
      </w:pPr>
      <w:r>
        <w:rPr>
          <w:rFonts w:eastAsia="楷体_GB2312"/>
          <w:b/>
          <w:bCs/>
          <w:sz w:val="32"/>
          <w:szCs w:val="32"/>
        </w:rPr>
        <w:t>（一）项目概况</w:t>
      </w:r>
    </w:p>
    <w:p w14:paraId="30A29080">
      <w:pPr>
        <w:spacing w:line="560" w:lineRule="exact"/>
        <w:ind w:firstLine="643" w:firstLineChars="200"/>
        <w:rPr>
          <w:rFonts w:eastAsia="仿宋_GB2312"/>
          <w:b/>
          <w:bCs/>
          <w:sz w:val="32"/>
          <w:szCs w:val="32"/>
        </w:rPr>
      </w:pPr>
      <w:bookmarkStart w:id="0" w:name="OLE_LINK1"/>
      <w:bookmarkStart w:id="1" w:name="OLE_LINK2"/>
      <w:r>
        <w:rPr>
          <w:rFonts w:eastAsia="仿宋_GB2312"/>
          <w:b/>
          <w:bCs/>
          <w:sz w:val="32"/>
          <w:szCs w:val="32"/>
        </w:rPr>
        <w:t>1.项目背景</w:t>
      </w:r>
    </w:p>
    <w:p w14:paraId="799C3F03">
      <w:pPr>
        <w:spacing w:line="560" w:lineRule="exact"/>
        <w:ind w:firstLine="640" w:firstLineChars="200"/>
        <w:rPr>
          <w:rFonts w:eastAsia="仿宋_GB2312"/>
          <w:sz w:val="32"/>
          <w:szCs w:val="32"/>
        </w:rPr>
      </w:pPr>
      <w:r>
        <w:rPr>
          <w:rFonts w:hint="eastAsia" w:ascii="仿宋" w:hAnsi="仿宋" w:eastAsia="仿宋" w:cs="仿宋"/>
          <w:sz w:val="32"/>
          <w:szCs w:val="32"/>
        </w:rPr>
        <w:t>深入实施《“十四五”残疾人保障和发展规划》，努力开创残疾人事业全面发展新局面。</w:t>
      </w:r>
      <w:r>
        <w:rPr>
          <w:rFonts w:hint="eastAsia" w:eastAsia="仿宋_GB2312"/>
          <w:sz w:val="32"/>
          <w:szCs w:val="32"/>
        </w:rPr>
        <w:t>根据《</w:t>
      </w:r>
      <w:r>
        <w:rPr>
          <w:rFonts w:eastAsia="仿宋_GB2312"/>
          <w:sz w:val="32"/>
          <w:szCs w:val="32"/>
        </w:rPr>
        <w:t>2024年自治区财政残疾人事业发展补助资金</w:t>
      </w:r>
      <w:r>
        <w:rPr>
          <w:rFonts w:hint="eastAsia" w:eastAsia="仿宋_GB2312"/>
          <w:sz w:val="32"/>
          <w:szCs w:val="32"/>
        </w:rPr>
        <w:t>》</w:t>
      </w:r>
      <w:r>
        <w:rPr>
          <w:rFonts w:eastAsia="仿宋_GB2312"/>
          <w:sz w:val="32"/>
          <w:szCs w:val="32"/>
        </w:rPr>
        <w:t>巴财社[2023]8</w:t>
      </w:r>
      <w:r>
        <w:rPr>
          <w:rFonts w:hint="eastAsia" w:eastAsia="仿宋_GB2312"/>
          <w:sz w:val="32"/>
          <w:szCs w:val="32"/>
        </w:rPr>
        <w:t>3</w:t>
      </w:r>
      <w:r>
        <w:rPr>
          <w:rFonts w:eastAsia="仿宋_GB2312"/>
          <w:sz w:val="32"/>
          <w:szCs w:val="32"/>
        </w:rPr>
        <w:t>号</w:t>
      </w:r>
      <w:r>
        <w:rPr>
          <w:rFonts w:hint="eastAsia" w:eastAsia="仿宋_GB2312"/>
          <w:sz w:val="32"/>
          <w:szCs w:val="32"/>
        </w:rPr>
        <w:t>文件要求，为进一步促进新阶段残疾人事业发展，健全残疾人帮扶制度，</w:t>
      </w:r>
      <w:bookmarkStart w:id="2" w:name="OLE_LINK14"/>
      <w:bookmarkStart w:id="3" w:name="OLE_LINK15"/>
      <w:r>
        <w:rPr>
          <w:rFonts w:hint="eastAsia" w:ascii="仿宋" w:hAnsi="仿宋" w:eastAsia="仿宋" w:cs="仿宋"/>
          <w:sz w:val="32"/>
          <w:szCs w:val="32"/>
        </w:rPr>
        <w:t>坚持以推动残疾人事业高质量发展为主题，以巩固拓展残疾人脱贫攻坚成果、促进残疾人全面发展和共同富裕为主线，</w:t>
      </w:r>
      <w:bookmarkEnd w:id="2"/>
      <w:bookmarkEnd w:id="3"/>
      <w:r>
        <w:rPr>
          <w:rFonts w:hint="eastAsia" w:eastAsia="仿宋_GB2312"/>
          <w:sz w:val="32"/>
          <w:szCs w:val="32"/>
        </w:rPr>
        <w:t>实施博湖县残疾人事业发展补助资金项目。</w:t>
      </w:r>
    </w:p>
    <w:p w14:paraId="0125A504">
      <w:pPr>
        <w:pStyle w:val="10"/>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2.项目主要内容：</w:t>
      </w:r>
    </w:p>
    <w:p w14:paraId="6DE14719">
      <w:pPr>
        <w:spacing w:line="560" w:lineRule="exact"/>
        <w:ind w:firstLine="600" w:firstLineChars="200"/>
        <w:rPr>
          <w:rFonts w:hint="eastAsia" w:eastAsia="仿宋_GB2312"/>
          <w:sz w:val="32"/>
          <w:szCs w:val="32"/>
        </w:rPr>
      </w:pPr>
      <w:r>
        <w:rPr>
          <w:rFonts w:eastAsia="仿宋_GB2312"/>
          <w:sz w:val="30"/>
          <w:szCs w:val="30"/>
        </w:rPr>
        <w:t>项目主要内容：</w:t>
      </w:r>
      <w:r>
        <w:rPr>
          <w:rFonts w:hint="eastAsia" w:eastAsia="仿宋_GB2312"/>
          <w:sz w:val="32"/>
          <w:szCs w:val="32"/>
        </w:rPr>
        <w:t>开展动态更新专项调查1550人，采购制卡机1台，4名残疾学生发放助学金补助资金，残疾人基本康复服务51人，残疾儿童康复救助4人，开展全国爱耳日和全国残疾预防日宣传工作2场次，困难残疾人家庭无障碍改造10户，改善家庭生活环境，</w:t>
      </w:r>
      <w:r>
        <w:rPr>
          <w:rFonts w:hint="eastAsia" w:ascii="仿宋_GB2312" w:hAnsi="仿宋" w:eastAsia="仿宋_GB2312"/>
          <w:sz w:val="32"/>
          <w:szCs w:val="32"/>
        </w:rPr>
        <w:t>让更多的残疾学生能享受更好的教育环境，保障家庭经济困难残疾学生和残疾人家庭子女顺利完成学业，</w:t>
      </w:r>
      <w:r>
        <w:rPr>
          <w:rFonts w:hint="eastAsia" w:eastAsia="仿宋_GB2312"/>
          <w:sz w:val="32"/>
          <w:szCs w:val="32"/>
        </w:rPr>
        <w:t>提高残疾人生活水平。</w:t>
      </w:r>
    </w:p>
    <w:p w14:paraId="350986F0">
      <w:pPr>
        <w:spacing w:line="560" w:lineRule="exact"/>
        <w:ind w:firstLine="640" w:firstLineChars="200"/>
        <w:rPr>
          <w:rFonts w:hint="eastAsia" w:eastAsia="仿宋_GB2312"/>
          <w:sz w:val="32"/>
          <w:szCs w:val="32"/>
        </w:rPr>
      </w:pPr>
      <w:r>
        <w:rPr>
          <w:rFonts w:eastAsia="仿宋_GB2312"/>
          <w:sz w:val="32"/>
          <w:szCs w:val="32"/>
        </w:rPr>
        <w:t>项目实施情况：</w:t>
      </w:r>
      <w:r>
        <w:rPr>
          <w:rFonts w:hint="eastAsia" w:eastAsia="仿宋_GB2312"/>
          <w:sz w:val="32"/>
          <w:szCs w:val="32"/>
        </w:rPr>
        <w:t>完成动态更新专项调查1533人，采购制卡机1台，4名残疾学生发放助学金补助资金，残疾人基本康复服务51人，残疾儿童康复救助4人，困难残疾人家庭无障碍改造10户，改善家庭生活环境；开展全国爱耳日和全国残疾预防日宣传工作2场次，切实解决残疾人的实际困难，保障残疾家庭生活水平。</w:t>
      </w:r>
    </w:p>
    <w:p w14:paraId="19CD2C05">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13A0F755">
      <w:pPr>
        <w:spacing w:line="600" w:lineRule="exact"/>
        <w:ind w:firstLine="640" w:firstLineChars="200"/>
        <w:outlineLvl w:val="0"/>
        <w:rPr>
          <w:rFonts w:eastAsia="仿宋_GB2312"/>
          <w:sz w:val="32"/>
          <w:szCs w:val="32"/>
        </w:rPr>
      </w:pPr>
      <w:r>
        <w:rPr>
          <w:rFonts w:eastAsia="仿宋_GB2312"/>
          <w:sz w:val="32"/>
          <w:szCs w:val="32"/>
        </w:rPr>
        <w:t>（1）资金投入情况</w:t>
      </w:r>
    </w:p>
    <w:p w14:paraId="132C20D8">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18.31</w:t>
      </w:r>
      <w:r>
        <w:rPr>
          <w:rFonts w:eastAsia="仿宋_GB2312"/>
          <w:sz w:val="32"/>
          <w:szCs w:val="32"/>
        </w:rPr>
        <w:t>万元，全年预算数</w:t>
      </w:r>
      <w:r>
        <w:rPr>
          <w:rFonts w:hint="eastAsia" w:eastAsia="仿宋_GB2312"/>
          <w:sz w:val="32"/>
          <w:szCs w:val="32"/>
        </w:rPr>
        <w:t>1.63</w:t>
      </w:r>
      <w:r>
        <w:rPr>
          <w:rFonts w:eastAsia="仿宋_GB2312"/>
          <w:sz w:val="32"/>
          <w:szCs w:val="32"/>
        </w:rPr>
        <w:t>万元，该项目资金已全部落实到位，资金来源为</w:t>
      </w:r>
      <w:r>
        <w:rPr>
          <w:rFonts w:hint="eastAsia" w:eastAsia="仿宋_GB2312"/>
          <w:sz w:val="32"/>
          <w:szCs w:val="32"/>
        </w:rPr>
        <w:t>财政拨款</w:t>
      </w:r>
      <w:r>
        <w:rPr>
          <w:rFonts w:eastAsia="仿宋_GB2312"/>
          <w:sz w:val="32"/>
          <w:szCs w:val="32"/>
        </w:rPr>
        <w:t>。</w:t>
      </w:r>
    </w:p>
    <w:p w14:paraId="08230524">
      <w:pPr>
        <w:spacing w:line="600" w:lineRule="exact"/>
        <w:ind w:firstLine="640" w:firstLineChars="200"/>
        <w:outlineLvl w:val="0"/>
        <w:rPr>
          <w:rFonts w:eastAsia="仿宋_GB2312"/>
          <w:sz w:val="32"/>
          <w:szCs w:val="32"/>
        </w:rPr>
      </w:pPr>
      <w:r>
        <w:rPr>
          <w:rFonts w:eastAsia="仿宋_GB2312"/>
          <w:sz w:val="32"/>
          <w:szCs w:val="32"/>
        </w:rPr>
        <w:t>（2）资金使用情况</w:t>
      </w:r>
    </w:p>
    <w:p w14:paraId="0B1F98BE">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18.31</w:t>
      </w:r>
      <w:r>
        <w:rPr>
          <w:rFonts w:eastAsia="仿宋_GB2312"/>
          <w:sz w:val="32"/>
          <w:szCs w:val="32"/>
        </w:rPr>
        <w:t>万元，全年预算数</w:t>
      </w:r>
      <w:r>
        <w:rPr>
          <w:rFonts w:hint="eastAsia" w:eastAsia="仿宋_GB2312"/>
          <w:sz w:val="32"/>
          <w:szCs w:val="32"/>
        </w:rPr>
        <w:t>1.63</w:t>
      </w:r>
      <w:r>
        <w:rPr>
          <w:rFonts w:eastAsia="仿宋_GB2312"/>
          <w:sz w:val="32"/>
          <w:szCs w:val="32"/>
        </w:rPr>
        <w:t>万元</w:t>
      </w:r>
      <w:r>
        <w:rPr>
          <w:rFonts w:hint="eastAsia" w:eastAsia="仿宋_GB2312"/>
          <w:sz w:val="32"/>
          <w:szCs w:val="32"/>
          <w:lang w:eastAsia="zh-CN"/>
        </w:rPr>
        <w:t>，</w:t>
      </w:r>
      <w:r>
        <w:rPr>
          <w:rFonts w:eastAsia="仿宋_GB2312"/>
          <w:sz w:val="32"/>
          <w:szCs w:val="32"/>
        </w:rPr>
        <w:t>全年执行数</w:t>
      </w:r>
      <w:r>
        <w:rPr>
          <w:rFonts w:hint="eastAsia" w:eastAsia="仿宋_GB2312"/>
          <w:sz w:val="32"/>
          <w:szCs w:val="32"/>
        </w:rPr>
        <w:t>1.25</w:t>
      </w:r>
      <w:r>
        <w:rPr>
          <w:rFonts w:eastAsia="仿宋_GB2312"/>
          <w:sz w:val="32"/>
          <w:szCs w:val="32"/>
        </w:rPr>
        <w:t>万元，预算执行率为</w:t>
      </w:r>
      <w:r>
        <w:rPr>
          <w:rFonts w:hint="eastAsia" w:eastAsia="仿宋_GB2312"/>
          <w:sz w:val="32"/>
          <w:szCs w:val="32"/>
        </w:rPr>
        <w:t>76.69</w:t>
      </w:r>
      <w:r>
        <w:rPr>
          <w:rFonts w:eastAsia="仿宋_GB2312"/>
          <w:sz w:val="32"/>
          <w:szCs w:val="32"/>
        </w:rPr>
        <w:t>%，主要用于：发放4名残疾学生助学金</w:t>
      </w:r>
      <w:r>
        <w:rPr>
          <w:rFonts w:hint="eastAsia" w:eastAsia="仿宋_GB2312"/>
          <w:sz w:val="32"/>
          <w:szCs w:val="32"/>
        </w:rPr>
        <w:t>0.8万元、动态更新专项调查0.2452万元、爱耳日宣传0.2万元</w:t>
      </w:r>
      <w:r>
        <w:rPr>
          <w:rFonts w:eastAsia="仿宋_GB2312"/>
          <w:sz w:val="32"/>
          <w:szCs w:val="32"/>
        </w:rPr>
        <w:t>。</w:t>
      </w:r>
      <w:bookmarkEnd w:id="0"/>
      <w:bookmarkEnd w:id="1"/>
    </w:p>
    <w:p w14:paraId="59751752">
      <w:pPr>
        <w:spacing w:line="560" w:lineRule="exact"/>
        <w:ind w:firstLine="643" w:firstLineChars="200"/>
        <w:rPr>
          <w:rFonts w:eastAsia="楷体_GB2312"/>
          <w:b/>
          <w:bCs/>
          <w:sz w:val="32"/>
          <w:szCs w:val="32"/>
        </w:rPr>
      </w:pPr>
      <w:r>
        <w:rPr>
          <w:rFonts w:eastAsia="楷体_GB2312"/>
          <w:b/>
          <w:bCs/>
          <w:sz w:val="32"/>
          <w:szCs w:val="32"/>
        </w:rPr>
        <w:t>（二）项目绩效目标</w:t>
      </w:r>
    </w:p>
    <w:p w14:paraId="4F235F96">
      <w:pPr>
        <w:spacing w:line="560" w:lineRule="exact"/>
        <w:ind w:firstLine="640" w:firstLineChars="200"/>
        <w:rPr>
          <w:rFonts w:hint="eastAsia" w:eastAsia="仿宋_GB2312"/>
          <w:sz w:val="32"/>
          <w:szCs w:val="32"/>
        </w:rPr>
      </w:pPr>
      <w:bookmarkStart w:id="4" w:name="OLE_LINK4"/>
      <w:bookmarkStart w:id="5" w:name="OLE_LINK5"/>
      <w:r>
        <w:rPr>
          <w:rFonts w:eastAsia="仿宋_GB2312"/>
          <w:sz w:val="32"/>
          <w:szCs w:val="32"/>
        </w:rPr>
        <w:t>1</w:t>
      </w:r>
      <w:r>
        <w:rPr>
          <w:rFonts w:eastAsia="仿宋_GB2312"/>
          <w:b/>
          <w:bCs/>
          <w:sz w:val="32"/>
          <w:szCs w:val="32"/>
        </w:rPr>
        <w:t>.</w:t>
      </w:r>
      <w:r>
        <w:rPr>
          <w:rFonts w:eastAsia="仿宋_GB2312"/>
          <w:sz w:val="32"/>
          <w:szCs w:val="32"/>
        </w:rPr>
        <w:t>总体目标</w:t>
      </w:r>
      <w:r>
        <w:rPr>
          <w:rFonts w:hint="eastAsia" w:eastAsia="仿宋_GB2312"/>
          <w:sz w:val="32"/>
          <w:szCs w:val="32"/>
        </w:rPr>
        <w:t>：根据《关于下拨2022年中央、自治区、自治州残疾人事业发展补助资金方案工作提示》，开展动态更新专项调查1550人，采购制卡机1台，4名残疾学生发放助学金补助资金，保障家庭经济困难残疾学生和残疾人家庭子女顺利完成学业。残疾人基本康复服务51人，残疾儿童康复救助4人，困难残疾人家庭无障碍改造10户，改善家庭生活环境；开展全国爱耳日和全国残疾预防日宣传工作2场次，切实解决残疾人的实际困难。</w:t>
      </w:r>
    </w:p>
    <w:p w14:paraId="7A1784C2">
      <w:pPr>
        <w:spacing w:line="560" w:lineRule="exact"/>
        <w:ind w:firstLine="640" w:firstLineChars="200"/>
        <w:rPr>
          <w:rFonts w:hint="eastAsia" w:eastAsia="仿宋_GB2312"/>
          <w:sz w:val="32"/>
          <w:szCs w:val="32"/>
        </w:rPr>
      </w:pPr>
      <w:r>
        <w:rPr>
          <w:rFonts w:eastAsia="仿宋_GB2312"/>
          <w:sz w:val="32"/>
          <w:szCs w:val="32"/>
        </w:rPr>
        <w:t>2.阶段性目标</w:t>
      </w:r>
      <w:r>
        <w:rPr>
          <w:rFonts w:hint="eastAsia" w:eastAsia="仿宋_GB2312"/>
          <w:sz w:val="32"/>
          <w:szCs w:val="32"/>
        </w:rPr>
        <w:t>：</w:t>
      </w:r>
    </w:p>
    <w:p w14:paraId="6C9EEA51">
      <w:pPr>
        <w:spacing w:line="560" w:lineRule="exact"/>
        <w:ind w:firstLine="640" w:firstLineChars="200"/>
        <w:rPr>
          <w:rFonts w:hint="eastAsia" w:eastAsia="仿宋_GB2312"/>
          <w:sz w:val="32"/>
          <w:szCs w:val="32"/>
        </w:rPr>
      </w:pPr>
      <w:r>
        <w:rPr>
          <w:rFonts w:hint="eastAsia" w:eastAsia="仿宋_GB2312"/>
          <w:sz w:val="32"/>
          <w:szCs w:val="32"/>
        </w:rPr>
        <w:t>2024年上半年（1-6月）对符合条件的残疾人和残疾儿童进行了摸底调查、</w:t>
      </w:r>
      <w:r>
        <w:rPr>
          <w:rFonts w:hint="eastAsia" w:ascii="方正仿宋_GBK" w:hAnsi="方正仿宋_GBK" w:eastAsia="方正仿宋_GBK" w:cs="方正仿宋_GBK"/>
          <w:sz w:val="32"/>
          <w:szCs w:val="32"/>
        </w:rPr>
        <w:t>与康复机构签订康复协议，并及时进行康复训练，</w:t>
      </w:r>
      <w:r>
        <w:rPr>
          <w:rFonts w:hint="eastAsia" w:eastAsia="仿宋_GB2312"/>
          <w:sz w:val="32"/>
          <w:szCs w:val="32"/>
        </w:rPr>
        <w:t>开展了爱耳日与残疾预防日宣传教育活动2次、采购了制卡机1台、对全县符合条件的残疾学生进行摸底、对4名</w:t>
      </w:r>
      <w:r>
        <w:rPr>
          <w:rFonts w:eastAsia="仿宋_GB2312"/>
          <w:sz w:val="32"/>
          <w:szCs w:val="32"/>
        </w:rPr>
        <w:t>发放</w:t>
      </w:r>
      <w:r>
        <w:rPr>
          <w:rFonts w:hint="eastAsia" w:eastAsia="仿宋_GB2312"/>
          <w:sz w:val="32"/>
          <w:szCs w:val="32"/>
        </w:rPr>
        <w:t>了</w:t>
      </w:r>
      <w:r>
        <w:rPr>
          <w:rFonts w:eastAsia="仿宋_GB2312"/>
          <w:sz w:val="32"/>
          <w:szCs w:val="32"/>
        </w:rPr>
        <w:t>残疾学生助学金，开展</w:t>
      </w:r>
      <w:r>
        <w:rPr>
          <w:rFonts w:hint="eastAsia" w:eastAsia="仿宋_GB2312"/>
          <w:sz w:val="32"/>
          <w:szCs w:val="32"/>
        </w:rPr>
        <w:t>动态更新专项调查1550人</w:t>
      </w:r>
      <w:r>
        <w:rPr>
          <w:rFonts w:eastAsia="仿宋_GB2312"/>
          <w:sz w:val="32"/>
          <w:szCs w:val="32"/>
        </w:rPr>
        <w:t>。</w:t>
      </w:r>
    </w:p>
    <w:p w14:paraId="653EEE83">
      <w:pPr>
        <w:spacing w:line="560" w:lineRule="exact"/>
        <w:ind w:firstLine="640" w:firstLineChars="200"/>
        <w:rPr>
          <w:rFonts w:eastAsia="仿宋_GB2312"/>
          <w:sz w:val="32"/>
          <w:szCs w:val="32"/>
        </w:rPr>
      </w:pPr>
      <w:r>
        <w:rPr>
          <w:rFonts w:hint="eastAsia" w:eastAsia="仿宋_GB2312"/>
          <w:sz w:val="32"/>
          <w:szCs w:val="32"/>
        </w:rPr>
        <w:t>2024年下半年（7-12月）残疾人和残疾儿童到</w:t>
      </w:r>
      <w:r>
        <w:rPr>
          <w:rFonts w:hint="eastAsia" w:ascii="方正仿宋_GBK" w:hAnsi="方正仿宋_GBK" w:eastAsia="方正仿宋_GBK" w:cs="方正仿宋_GBK"/>
          <w:sz w:val="32"/>
          <w:szCs w:val="32"/>
        </w:rPr>
        <w:t>康复机构</w:t>
      </w:r>
      <w:r>
        <w:rPr>
          <w:rFonts w:hint="eastAsia" w:eastAsia="仿宋_GB2312"/>
          <w:sz w:val="32"/>
          <w:szCs w:val="32"/>
        </w:rPr>
        <w:t>进行康复训练、完成10户困难重度残疾人家庭无障碍改造，改善了家庭生活环境，提高残疾康复服务水平。</w:t>
      </w:r>
      <w:bookmarkEnd w:id="4"/>
      <w:bookmarkEnd w:id="5"/>
    </w:p>
    <w:p w14:paraId="127328C3">
      <w:pPr>
        <w:spacing w:line="560" w:lineRule="exact"/>
        <w:ind w:firstLine="640" w:firstLineChars="200"/>
        <w:rPr>
          <w:rFonts w:eastAsia="黑体"/>
          <w:sz w:val="32"/>
          <w:szCs w:val="32"/>
        </w:rPr>
      </w:pPr>
      <w:r>
        <w:rPr>
          <w:rFonts w:eastAsia="黑体"/>
          <w:sz w:val="32"/>
          <w:szCs w:val="32"/>
        </w:rPr>
        <w:t>二、绩效评价工作开展情况</w:t>
      </w:r>
    </w:p>
    <w:p w14:paraId="3A4F4687">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44E27D78">
      <w:pPr>
        <w:pStyle w:val="10"/>
        <w:widowControl w:val="0"/>
        <w:spacing w:before="0" w:after="0" w:line="560" w:lineRule="exact"/>
        <w:ind w:firstLine="640" w:firstLineChars="200"/>
        <w:jc w:val="both"/>
        <w:outlineLvl w:val="9"/>
        <w:rPr>
          <w:rFonts w:ascii="Times New Roman" w:hAnsi="Times New Roman" w:eastAsia="仿宋_GB2312"/>
          <w:b w:val="0"/>
          <w:bCs w:val="0"/>
        </w:rPr>
      </w:pPr>
      <w:bookmarkStart w:id="6" w:name="OLE_LINK6"/>
      <w:bookmarkStart w:id="7" w:name="OLE_LINK7"/>
      <w:r>
        <w:rPr>
          <w:rFonts w:ascii="Times New Roman" w:hAnsi="Times New Roman" w:eastAsia="仿宋_GB2312"/>
          <w:b w:val="0"/>
          <w:bCs w:val="0"/>
        </w:rPr>
        <w:t>1.绩效评价完整性</w:t>
      </w:r>
    </w:p>
    <w:p w14:paraId="5847D357">
      <w:pPr>
        <w:spacing w:line="560" w:lineRule="exact"/>
        <w:ind w:firstLine="640" w:firstLineChars="200"/>
        <w:rPr>
          <w:rFonts w:eastAsia="仿宋_GB2312"/>
          <w:sz w:val="32"/>
          <w:szCs w:val="32"/>
        </w:rPr>
      </w:pPr>
      <w:r>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4C158F3">
      <w:pPr>
        <w:spacing w:line="560" w:lineRule="exact"/>
        <w:ind w:firstLine="640" w:firstLineChars="200"/>
        <w:rPr>
          <w:rFonts w:eastAsia="仿宋_GB2312"/>
          <w:sz w:val="32"/>
          <w:szCs w:val="32"/>
        </w:rPr>
      </w:pPr>
      <w:r>
        <w:rPr>
          <w:rFonts w:eastAsia="仿宋_GB2312"/>
          <w:sz w:val="32"/>
          <w:szCs w:val="32"/>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14:paraId="6F6C09F9">
      <w:pPr>
        <w:spacing w:line="560" w:lineRule="exact"/>
        <w:ind w:firstLine="640" w:firstLineChars="200"/>
        <w:rPr>
          <w:rFonts w:eastAsia="仿宋_GB2312"/>
          <w:sz w:val="32"/>
          <w:szCs w:val="32"/>
        </w:rPr>
      </w:pPr>
      <w:r>
        <w:rPr>
          <w:rFonts w:eastAsia="仿宋_GB2312"/>
          <w:sz w:val="32"/>
          <w:szCs w:val="32"/>
        </w:rPr>
        <w:t>在数据收集与分析环节，采用了多种科学合理的方法，如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1457ED66">
      <w:pPr>
        <w:spacing w:line="560" w:lineRule="exact"/>
        <w:ind w:firstLine="640" w:firstLineChars="200"/>
        <w:rPr>
          <w:rFonts w:eastAsia="仿宋_GB2312"/>
          <w:sz w:val="32"/>
          <w:szCs w:val="32"/>
        </w:rPr>
      </w:pPr>
      <w:r>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67F48E2A">
      <w:pPr>
        <w:spacing w:line="560" w:lineRule="exact"/>
        <w:ind w:firstLine="640" w:firstLineChars="200"/>
        <w:rPr>
          <w:rFonts w:eastAsia="仿宋_GB2312"/>
          <w:sz w:val="32"/>
          <w:szCs w:val="32"/>
        </w:rPr>
      </w:pPr>
      <w:r>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28F9934">
      <w:pPr>
        <w:spacing w:line="560" w:lineRule="exact"/>
        <w:ind w:firstLine="640" w:firstLineChars="200"/>
        <w:rPr>
          <w:rFonts w:eastAsia="仿宋_GB2312"/>
          <w:sz w:val="32"/>
          <w:szCs w:val="32"/>
        </w:rPr>
      </w:pPr>
      <w:r>
        <w:rPr>
          <w:rFonts w:eastAsia="仿宋_GB2312"/>
          <w:sz w:val="32"/>
          <w:szCs w:val="32"/>
        </w:rPr>
        <w:t>2.绩效评价的目的</w:t>
      </w:r>
    </w:p>
    <w:p w14:paraId="421ACBF6">
      <w:pPr>
        <w:spacing w:line="560" w:lineRule="exact"/>
        <w:ind w:firstLine="640" w:firstLineChars="200"/>
        <w:rPr>
          <w:rFonts w:eastAsia="仿宋_GB2312"/>
          <w:sz w:val="32"/>
          <w:szCs w:val="32"/>
        </w:rPr>
      </w:pPr>
      <w:r>
        <w:rPr>
          <w:rFonts w:eastAsia="仿宋_GB2312"/>
          <w:sz w:val="32"/>
          <w:szCs w:val="32"/>
        </w:rPr>
        <w:t>（1）评估项目实施效果</w:t>
      </w:r>
    </w:p>
    <w:p w14:paraId="06C6CBC8">
      <w:pPr>
        <w:spacing w:line="560" w:lineRule="exact"/>
        <w:ind w:firstLine="640" w:firstLineChars="20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通过对项目预算执行情况及各项绩效目标达成程度的系统性分析，全面、客观地评估项目在预定周期内的实施效果，包括经济效益、社会效益等多维度指标，为项目后续的改进与优化提供科学依据。</w:t>
      </w:r>
    </w:p>
    <w:p w14:paraId="33CE1011">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2</w:t>
      </w:r>
      <w:r>
        <w:rPr>
          <w:rFonts w:eastAsia="仿宋_GB2312"/>
          <w:sz w:val="32"/>
          <w:szCs w:val="32"/>
        </w:rPr>
        <w:t>）强化项目管理责任</w:t>
      </w:r>
    </w:p>
    <w:p w14:paraId="771713A7">
      <w:pPr>
        <w:spacing w:line="560" w:lineRule="exact"/>
        <w:ind w:firstLine="640" w:firstLineChars="20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3E796F88">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3</w:t>
      </w:r>
      <w:r>
        <w:rPr>
          <w:rFonts w:eastAsia="仿宋_GB2312"/>
          <w:sz w:val="32"/>
          <w:szCs w:val="32"/>
        </w:rPr>
        <w:t>）促进项目持续改进</w:t>
      </w:r>
    </w:p>
    <w:p w14:paraId="39F9D0FE">
      <w:pPr>
        <w:spacing w:line="560" w:lineRule="exact"/>
        <w:ind w:firstLine="640" w:firstLineChars="20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512F24C">
      <w:pPr>
        <w:spacing w:line="560" w:lineRule="exact"/>
        <w:ind w:firstLine="640" w:firstLineChars="200"/>
        <w:rPr>
          <w:rFonts w:eastAsia="方正仿宋_GBK"/>
          <w:sz w:val="32"/>
          <w:szCs w:val="32"/>
          <w:highlight w:val="green"/>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C0BD251">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ascii="Times New Roman" w:hAnsi="Times New Roman" w:eastAsia="仿宋_GB2312"/>
        </w:rPr>
        <w:t>.</w:t>
      </w:r>
      <w:r>
        <w:rPr>
          <w:rFonts w:ascii="Times New Roman" w:hAnsi="Times New Roman" w:eastAsia="仿宋_GB2312"/>
          <w:b w:val="0"/>
          <w:bCs w:val="0"/>
        </w:rPr>
        <w:t>绩效评价的对象</w:t>
      </w:r>
    </w:p>
    <w:p w14:paraId="384B5D28">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本项目预算绩效评价报告的评价对象是巴财社[2023]83号关于提前下达2024年自治区财政残疾人事业发展补助资金及其预算执行情况。该项目由</w:t>
      </w:r>
      <w:r>
        <w:rPr>
          <w:rFonts w:hint="eastAsia" w:ascii="Times New Roman" w:hAnsi="Times New Roman" w:eastAsia="仿宋_GB2312"/>
          <w:b w:val="0"/>
          <w:bCs w:val="0"/>
        </w:rPr>
        <w:t>博湖县残疾人联合会</w:t>
      </w:r>
      <w:r>
        <w:rPr>
          <w:rFonts w:ascii="Times New Roman" w:hAnsi="Times New Roman" w:eastAsia="仿宋_GB2312"/>
          <w:b w:val="0"/>
          <w:bCs w:val="0"/>
        </w:rPr>
        <w:t>负责实施，旨在</w:t>
      </w:r>
      <w:r>
        <w:rPr>
          <w:rFonts w:hint="eastAsia" w:ascii="Times New Roman" w:hAnsi="Times New Roman" w:eastAsia="仿宋_GB2312"/>
          <w:b w:val="0"/>
          <w:bCs w:val="0"/>
        </w:rPr>
        <w:t>提高残疾人康复服务水平，保障残疾人生活水平</w:t>
      </w:r>
      <w:r>
        <w:rPr>
          <w:rFonts w:ascii="Times New Roman" w:hAnsi="Times New Roman" w:eastAsia="仿宋_GB2312"/>
          <w:b w:val="0"/>
          <w:bCs w:val="0"/>
        </w:rPr>
        <w:t>。项目预算涵盖从</w:t>
      </w:r>
      <w:r>
        <w:rPr>
          <w:rFonts w:hint="eastAsia" w:ascii="Times New Roman" w:hAnsi="Times New Roman" w:eastAsia="仿宋_GB2312"/>
          <w:b w:val="0"/>
          <w:bCs w:val="0"/>
        </w:rPr>
        <w:t>2024年4月</w:t>
      </w:r>
      <w:r>
        <w:rPr>
          <w:rFonts w:ascii="Times New Roman" w:hAnsi="Times New Roman" w:eastAsia="仿宋_GB2312"/>
          <w:b w:val="0"/>
          <w:bCs w:val="0"/>
        </w:rPr>
        <w:t>至</w:t>
      </w:r>
      <w:r>
        <w:rPr>
          <w:rFonts w:hint="eastAsia" w:ascii="Times New Roman" w:hAnsi="Times New Roman" w:eastAsia="仿宋_GB2312"/>
          <w:b w:val="0"/>
          <w:bCs w:val="0"/>
        </w:rPr>
        <w:t>2024年12月31日</w:t>
      </w:r>
      <w:r>
        <w:rPr>
          <w:rFonts w:ascii="Times New Roman" w:hAnsi="Times New Roman" w:eastAsia="仿宋_GB2312"/>
          <w:b w:val="0"/>
          <w:bCs w:val="0"/>
        </w:rPr>
        <w:t>的全部资金投入与支出，涉及资金总额为</w:t>
      </w:r>
      <w:r>
        <w:rPr>
          <w:rFonts w:hint="eastAsia" w:ascii="Times New Roman" w:hAnsi="Times New Roman" w:eastAsia="仿宋_GB2312"/>
          <w:b w:val="0"/>
          <w:bCs w:val="0"/>
        </w:rPr>
        <w:t>1.63</w:t>
      </w:r>
      <w:r>
        <w:rPr>
          <w:rFonts w:ascii="Times New Roman" w:hAnsi="Times New Roman" w:eastAsia="仿宋_GB2312"/>
          <w:b w:val="0"/>
          <w:bCs w:val="0"/>
        </w:rPr>
        <w:t>万元。</w:t>
      </w:r>
    </w:p>
    <w:p w14:paraId="4ACD45E0">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4.绩效评价的范围</w:t>
      </w:r>
    </w:p>
    <w:p w14:paraId="5EEAF8E3">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本项目预算绩效评价报告的评价范围广泛而全面，涵盖了从项目立项至评价时点期间的所有关键预算活动和财务流程。具体而言，评价范围包括但不限于以下几个方面：</w:t>
      </w:r>
    </w:p>
    <w:p w14:paraId="74958DB1">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项目预算编制与执行：全面审视项目预算的编制依据、合理性、科学性以及实际执行情况，包括预算调整的原因和效果。</w:t>
      </w:r>
    </w:p>
    <w:p w14:paraId="1A381496">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资金管理：深入分析项目资金的分配、使用和监管情况，确保资金使用的合规性、高效性和透明度。</w:t>
      </w:r>
    </w:p>
    <w:p w14:paraId="0F7B5BE7">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项目实施进度与产出：评估项目是否按照既定计划顺利推进，各项任务是否按时完成，以及项目产出的数量、质量和时效性是否符合预期。</w:t>
      </w:r>
    </w:p>
    <w:p w14:paraId="2DDFC576">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社会</w:t>
      </w:r>
      <w:r>
        <w:rPr>
          <w:rFonts w:hint="eastAsia" w:ascii="Times New Roman" w:hAnsi="Times New Roman" w:eastAsia="仿宋_GB2312"/>
          <w:b w:val="0"/>
          <w:bCs w:val="0"/>
        </w:rPr>
        <w:t>、经济</w:t>
      </w:r>
      <w:r>
        <w:rPr>
          <w:rFonts w:ascii="Times New Roman" w:hAnsi="Times New Roman" w:eastAsia="仿宋_GB2312"/>
          <w:b w:val="0"/>
          <w:bCs w:val="0"/>
        </w:rPr>
        <w:t>影响：考察项目对社会、经济等方面的综合影响。</w:t>
      </w:r>
      <w:bookmarkEnd w:id="6"/>
      <w:bookmarkEnd w:id="7"/>
    </w:p>
    <w:p w14:paraId="08F9DB6A">
      <w:pPr>
        <w:spacing w:line="560" w:lineRule="exact"/>
        <w:ind w:firstLine="643" w:firstLineChars="200"/>
      </w:pPr>
      <w:r>
        <w:rPr>
          <w:rFonts w:eastAsia="楷体_GB2312"/>
          <w:b/>
          <w:bCs/>
          <w:sz w:val="32"/>
          <w:szCs w:val="32"/>
        </w:rPr>
        <w:t>（二）绩效评价原则、评价指标体系（详情见表1）、评价方法、评价标准。</w:t>
      </w:r>
    </w:p>
    <w:p w14:paraId="19AD785A">
      <w:pPr>
        <w:pStyle w:val="10"/>
        <w:widowControl w:val="0"/>
        <w:spacing w:before="0" w:after="0" w:line="560" w:lineRule="exact"/>
        <w:ind w:firstLine="640" w:firstLineChars="200"/>
        <w:jc w:val="both"/>
        <w:outlineLvl w:val="9"/>
        <w:rPr>
          <w:rFonts w:ascii="Times New Roman" w:hAnsi="Times New Roman" w:eastAsia="仿宋_GB2312"/>
          <w:b w:val="0"/>
          <w:bCs w:val="0"/>
        </w:rPr>
      </w:pPr>
      <w:bookmarkStart w:id="8" w:name="OLE_LINK10"/>
      <w:r>
        <w:rPr>
          <w:rFonts w:ascii="Times New Roman" w:hAnsi="Times New Roman" w:eastAsia="仿宋_GB2312"/>
          <w:b w:val="0"/>
          <w:bCs w:val="0"/>
        </w:rPr>
        <w:t>1</w:t>
      </w:r>
      <w:r>
        <w:rPr>
          <w:rFonts w:ascii="Times New Roman" w:hAnsi="Times New Roman" w:eastAsia="仿宋_GB2312"/>
        </w:rPr>
        <w:t>.</w:t>
      </w:r>
      <w:r>
        <w:rPr>
          <w:rFonts w:ascii="Times New Roman" w:hAnsi="Times New Roman" w:eastAsia="仿宋_GB2312"/>
          <w:b w:val="0"/>
          <w:bCs w:val="0"/>
        </w:rPr>
        <w:t>绩效评价原则</w:t>
      </w:r>
    </w:p>
    <w:p w14:paraId="604839D6">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6AAEB54B">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469E1DFE">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48106D4D">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0688984E">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361F368E">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p>
    <w:p w14:paraId="3F85DD21">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6492D8D0">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75BE6E02">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CAA26C8">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5B048BA5">
      <w:pPr>
        <w:spacing w:line="560" w:lineRule="exact"/>
        <w:ind w:firstLine="708" w:firstLineChars="200"/>
        <w:rPr>
          <w:rFonts w:eastAsia="仿宋_GB2312"/>
          <w:color w:val="FF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0C1C4DB7">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1E3AEE6D">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0CA83CC0">
      <w:pPr>
        <w:pStyle w:val="10"/>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绩效评价总分值100分，根据综合评分结果，90（含）-100分为优、80（含）-90分为良、60（含）-80分为中、60分以下为差。</w:t>
      </w:r>
    </w:p>
    <w:p w14:paraId="0B635D96">
      <w:pPr>
        <w:pStyle w:val="10"/>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51AF463B">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54A0DC25">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0CDDC157">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47C996D6">
      <w:pPr>
        <w:spacing w:line="560" w:lineRule="exact"/>
        <w:ind w:firstLine="708" w:firstLineChars="200"/>
        <w:rPr>
          <w:rFonts w:ascii="仿宋" w:hAnsi="仿宋" w:eastAsia="仿宋" w:cs="仿宋"/>
          <w:sz w:val="32"/>
          <w:szCs w:val="32"/>
        </w:rPr>
      </w:pPr>
      <w:bookmarkStart w:id="9" w:name="OLE_LINK8"/>
      <w:bookmarkStart w:id="10" w:name="OLE_LINK9"/>
      <w:r>
        <w:rPr>
          <w:rFonts w:eastAsia="仿宋_GB2312"/>
          <w:color w:val="000000"/>
          <w:spacing w:val="17"/>
          <w:sz w:val="32"/>
          <w:szCs w:val="32"/>
        </w:rPr>
        <w:t>比较法。</w:t>
      </w:r>
      <w:r>
        <w:rPr>
          <w:rFonts w:hint="eastAsia" w:eastAsia="仿宋_GB2312"/>
          <w:color w:val="000000"/>
          <w:spacing w:val="17"/>
          <w:sz w:val="32"/>
          <w:szCs w:val="32"/>
        </w:rPr>
        <w:t>原因是：将本项目实施情况与年初设定的</w:t>
      </w:r>
      <w:bookmarkEnd w:id="9"/>
      <w:bookmarkEnd w:id="10"/>
      <w:r>
        <w:rPr>
          <w:rFonts w:hint="eastAsia" w:eastAsia="仿宋_GB2312"/>
          <w:color w:val="000000"/>
          <w:spacing w:val="17"/>
          <w:sz w:val="32"/>
          <w:szCs w:val="32"/>
        </w:rPr>
        <w:t>开展动态更新专项调查1550人，采购制卡机1台，4名残疾学生发放助学金补助资金，残疾人基本康复服务51人，残疾儿童康复救助4人，困难残疾人家庭无障碍改造10户，开展全国爱耳日和全国残疾预防日宣传工作2场次等目标进行比较。</w:t>
      </w:r>
    </w:p>
    <w:p w14:paraId="4918FA58">
      <w:pPr>
        <w:tabs>
          <w:tab w:val="left" w:pos="312"/>
        </w:tabs>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4.评价标准</w:t>
      </w:r>
    </w:p>
    <w:p w14:paraId="5698416C">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b w:val="0"/>
          <w:bCs w:val="0"/>
        </w:rPr>
        <w:t>计划</w:t>
      </w:r>
      <w:r>
        <w:rPr>
          <w:rFonts w:ascii="Times New Roman" w:hAnsi="Times New Roman" w:eastAsia="仿宋_GB2312"/>
          <w:b w:val="0"/>
          <w:bCs w:val="0"/>
        </w:rPr>
        <w:t>标准。</w:t>
      </w:r>
    </w:p>
    <w:p w14:paraId="1118D371">
      <w:pPr>
        <w:pStyle w:val="10"/>
        <w:widowControl w:val="0"/>
        <w:spacing w:before="0" w:after="0" w:line="560" w:lineRule="exact"/>
        <w:ind w:firstLine="640" w:firstLineChars="200"/>
        <w:jc w:val="both"/>
        <w:outlineLvl w:val="9"/>
        <w:rPr>
          <w:rFonts w:ascii="Times New Roman" w:hAnsi="Times New Roman" w:eastAsia="仿宋_GB2312"/>
          <w:b w:val="0"/>
          <w:bCs w:val="0"/>
        </w:rPr>
      </w:pPr>
      <w:bookmarkStart w:id="11" w:name="OLE_LINK12"/>
      <w:bookmarkStart w:id="12" w:name="OLE_LINK11"/>
      <w:r>
        <w:rPr>
          <w:rFonts w:hint="eastAsia" w:ascii="Times New Roman" w:hAnsi="Times New Roman" w:eastAsia="仿宋_GB2312"/>
          <w:b w:val="0"/>
          <w:bCs w:val="0"/>
        </w:rPr>
        <w:t>原因是：根据巴财社</w:t>
      </w:r>
      <w:r>
        <w:rPr>
          <w:rFonts w:ascii="Times New Roman" w:hAnsi="Times New Roman" w:eastAsia="仿宋_GB2312"/>
          <w:b w:val="0"/>
          <w:bCs w:val="0"/>
        </w:rPr>
        <w:t>[2023]83</w:t>
      </w:r>
      <w:r>
        <w:rPr>
          <w:rFonts w:hint="eastAsia" w:ascii="Times New Roman" w:hAnsi="Times New Roman" w:eastAsia="仿宋_GB2312"/>
          <w:b w:val="0"/>
          <w:bCs w:val="0"/>
        </w:rPr>
        <w:t>号《</w:t>
      </w:r>
      <w:r>
        <w:rPr>
          <w:rFonts w:ascii="Times New Roman" w:hAnsi="Times New Roman" w:eastAsia="仿宋_GB2312"/>
          <w:b w:val="0"/>
          <w:bCs w:val="0"/>
        </w:rPr>
        <w:t>2024</w:t>
      </w:r>
      <w:r>
        <w:rPr>
          <w:rFonts w:hint="eastAsia" w:ascii="Times New Roman" w:hAnsi="Times New Roman" w:eastAsia="仿宋_GB2312"/>
          <w:b w:val="0"/>
          <w:bCs w:val="0"/>
        </w:rPr>
        <w:t>年自治区财政残疾人事业发展补助资金》文件要求，制定了本项目的目标及工作计划，确定了预算及定额作为评价标准。</w:t>
      </w:r>
      <w:bookmarkEnd w:id="8"/>
      <w:bookmarkEnd w:id="11"/>
      <w:bookmarkEnd w:id="12"/>
    </w:p>
    <w:p w14:paraId="764C28DF">
      <w:pPr>
        <w:pStyle w:val="10"/>
        <w:numPr>
          <w:ilvl w:val="0"/>
          <w:numId w:val="2"/>
        </w:numPr>
        <w:spacing w:before="0" w:after="0" w:line="560" w:lineRule="exact"/>
        <w:ind w:firstLine="711" w:firstLineChars="200"/>
        <w:jc w:val="both"/>
        <w:rPr>
          <w:rFonts w:ascii="Times New Roman" w:hAnsi="Times New Roman" w:eastAsia="楷体"/>
          <w:color w:val="000000"/>
          <w:spacing w:val="17"/>
        </w:rPr>
      </w:pPr>
      <w:r>
        <w:rPr>
          <w:rFonts w:ascii="Times New Roman" w:hAnsi="Times New Roman" w:eastAsia="楷体"/>
          <w:color w:val="000000"/>
          <w:spacing w:val="17"/>
        </w:rPr>
        <w:t>绩效评价工作过程</w:t>
      </w:r>
    </w:p>
    <w:p w14:paraId="1F5F6D53">
      <w:pPr>
        <w:spacing w:line="560" w:lineRule="exact"/>
        <w:ind w:firstLine="640" w:firstLineChars="200"/>
        <w:rPr>
          <w:rFonts w:eastAsia="仿宋_GB2312"/>
          <w:sz w:val="32"/>
          <w:szCs w:val="32"/>
        </w:rPr>
      </w:pPr>
      <w:bookmarkStart w:id="13" w:name="OLE_LINK17"/>
      <w:bookmarkStart w:id="14" w:name="OLE_LINK13"/>
      <w:r>
        <w:rPr>
          <w:rFonts w:eastAsia="仿宋_GB2312"/>
          <w:sz w:val="32"/>
          <w:szCs w:val="32"/>
        </w:rPr>
        <w:t>（1）前期准备与规划</w:t>
      </w:r>
    </w:p>
    <w:p w14:paraId="0C4A6524">
      <w:pPr>
        <w:spacing w:line="560" w:lineRule="exact"/>
        <w:ind w:firstLine="640" w:firstLineChars="200"/>
        <w:rPr>
          <w:rFonts w:eastAsia="仿宋_GB2312"/>
          <w:sz w:val="32"/>
          <w:szCs w:val="32"/>
        </w:rPr>
      </w:pPr>
      <w:bookmarkStart w:id="15" w:name="OLE_LINK16"/>
      <w:r>
        <w:rPr>
          <w:rFonts w:eastAsia="仿宋_GB2312"/>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bookmarkEnd w:id="15"/>
    </w:p>
    <w:p w14:paraId="7A49689B">
      <w:pPr>
        <w:spacing w:line="560" w:lineRule="exact"/>
        <w:ind w:firstLine="640" w:firstLineChars="200"/>
        <w:rPr>
          <w:rFonts w:eastAsia="仿宋_GB2312"/>
          <w:sz w:val="32"/>
          <w:szCs w:val="32"/>
        </w:rPr>
      </w:pPr>
      <w:r>
        <w:rPr>
          <w:rFonts w:eastAsia="仿宋_GB2312"/>
          <w:sz w:val="32"/>
          <w:szCs w:val="32"/>
        </w:rPr>
        <w:t>（2）指标体系构建</w:t>
      </w:r>
    </w:p>
    <w:p w14:paraId="29E52B78">
      <w:pPr>
        <w:spacing w:line="560" w:lineRule="exact"/>
        <w:ind w:firstLine="640" w:firstLineChars="200"/>
        <w:rPr>
          <w:rFonts w:eastAsia="仿宋_GB2312"/>
          <w:sz w:val="32"/>
          <w:szCs w:val="32"/>
        </w:rPr>
      </w:pPr>
      <w:r>
        <w:rPr>
          <w:rFonts w:eastAsia="仿宋_GB2312"/>
          <w:sz w:val="32"/>
          <w:szCs w:val="32"/>
        </w:rPr>
        <w:t>依据项目的性质、目标以及预期成果，构建了科学合理的绩效评价指标体系。该指标体系涵盖了</w:t>
      </w:r>
      <w:r>
        <w:rPr>
          <w:rFonts w:eastAsia="仿宋_GB2312"/>
          <w:color w:val="000000"/>
          <w:spacing w:val="17"/>
          <w:sz w:val="32"/>
          <w:szCs w:val="32"/>
        </w:rPr>
        <w:t>项目决策、项目过程、项目产出、项目效益四个维度</w:t>
      </w:r>
      <w:r>
        <w:rPr>
          <w:rFonts w:eastAsia="仿宋_GB2312"/>
          <w:sz w:val="32"/>
          <w:szCs w:val="32"/>
        </w:rPr>
        <w:t>，选取了具有代表性和可衡量性的关键指标，并为每个指标设定了明确的评价标准与权重，确保评价结果能够全面、准确地反映项目的绩效状况。</w:t>
      </w:r>
    </w:p>
    <w:p w14:paraId="7E0D1CC0">
      <w:pPr>
        <w:spacing w:line="560" w:lineRule="exact"/>
        <w:ind w:firstLine="640" w:firstLineChars="200"/>
        <w:rPr>
          <w:rFonts w:eastAsia="仿宋_GB2312"/>
          <w:sz w:val="32"/>
          <w:szCs w:val="32"/>
        </w:rPr>
      </w:pPr>
      <w:r>
        <w:rPr>
          <w:rFonts w:eastAsia="仿宋_GB2312"/>
          <w:sz w:val="32"/>
          <w:szCs w:val="32"/>
        </w:rPr>
        <w:t>（3）数据收集与整理</w:t>
      </w:r>
    </w:p>
    <w:p w14:paraId="1ADB3182">
      <w:pPr>
        <w:spacing w:line="560" w:lineRule="exact"/>
        <w:ind w:firstLine="640" w:firstLineChars="200"/>
        <w:rPr>
          <w:rFonts w:eastAsia="仿宋_GB2312"/>
          <w:sz w:val="32"/>
          <w:szCs w:val="32"/>
        </w:rPr>
      </w:pPr>
      <w:r>
        <w:rPr>
          <w:rFonts w:eastAsia="仿宋_GB2312"/>
          <w:sz w:val="32"/>
          <w:szCs w:val="32"/>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14:paraId="12D780A9">
      <w:pPr>
        <w:spacing w:line="560" w:lineRule="exact"/>
        <w:ind w:firstLine="640" w:firstLineChars="200"/>
        <w:rPr>
          <w:rFonts w:eastAsia="仿宋_GB2312"/>
          <w:sz w:val="32"/>
          <w:szCs w:val="32"/>
        </w:rPr>
      </w:pPr>
      <w:r>
        <w:rPr>
          <w:rFonts w:eastAsia="仿宋_GB2312"/>
          <w:sz w:val="32"/>
          <w:szCs w:val="32"/>
        </w:rPr>
        <w:t>（4）数据分析与评估</w:t>
      </w:r>
    </w:p>
    <w:p w14:paraId="56D87C33">
      <w:pPr>
        <w:spacing w:line="560" w:lineRule="exact"/>
        <w:ind w:firstLine="640" w:firstLineChars="20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39886D2A">
      <w:pPr>
        <w:spacing w:line="560" w:lineRule="exact"/>
        <w:ind w:firstLine="640" w:firstLineChars="200"/>
        <w:rPr>
          <w:rFonts w:eastAsia="仿宋_GB2312"/>
          <w:sz w:val="32"/>
          <w:szCs w:val="32"/>
        </w:rPr>
      </w:pPr>
      <w:r>
        <w:rPr>
          <w:rFonts w:eastAsia="仿宋_GB2312"/>
          <w:sz w:val="32"/>
          <w:szCs w:val="32"/>
        </w:rPr>
        <w:t>（5）报告撰写与反馈</w:t>
      </w:r>
    </w:p>
    <w:p w14:paraId="1EB6508F">
      <w:pPr>
        <w:spacing w:line="560" w:lineRule="exact"/>
        <w:ind w:firstLine="640" w:firstLineChars="20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57A46436">
      <w:pPr>
        <w:spacing w:line="560" w:lineRule="exact"/>
        <w:ind w:firstLine="640" w:firstLineChars="200"/>
        <w:rPr>
          <w:rFonts w:eastAsia="仿宋_GB2312"/>
          <w:sz w:val="32"/>
          <w:szCs w:val="32"/>
        </w:rPr>
      </w:pPr>
      <w:r>
        <w:rPr>
          <w:rFonts w:eastAsia="仿宋_GB2312"/>
          <w:sz w:val="32"/>
          <w:szCs w:val="32"/>
        </w:rPr>
        <w:t>（6）后续跟踪与改进</w:t>
      </w:r>
    </w:p>
    <w:p w14:paraId="7CB21A10">
      <w:pPr>
        <w:spacing w:line="560" w:lineRule="exact"/>
        <w:ind w:firstLine="640" w:firstLineChars="200"/>
        <w:rPr>
          <w:rFonts w:eastAsia="仿宋_GB2312"/>
          <w:sz w:val="32"/>
          <w:szCs w:val="32"/>
        </w:rPr>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bookmarkEnd w:id="13"/>
      <w:bookmarkEnd w:id="14"/>
    </w:p>
    <w:p w14:paraId="63336AB3">
      <w:pPr>
        <w:numPr>
          <w:ilvl w:val="0"/>
          <w:numId w:val="3"/>
        </w:numPr>
        <w:spacing w:line="560" w:lineRule="exact"/>
        <w:ind w:firstLine="640" w:firstLineChars="200"/>
        <w:rPr>
          <w:rFonts w:eastAsia="黑体"/>
          <w:sz w:val="32"/>
          <w:szCs w:val="32"/>
        </w:rPr>
      </w:pPr>
      <w:r>
        <w:rPr>
          <w:rFonts w:eastAsia="黑体"/>
          <w:sz w:val="32"/>
          <w:szCs w:val="32"/>
        </w:rPr>
        <w:t>综合评价情况及评价结论（附相关评分表）</w:t>
      </w:r>
    </w:p>
    <w:p w14:paraId="4B897A0E">
      <w:pPr>
        <w:pStyle w:val="10"/>
        <w:spacing w:before="0" w:after="0" w:line="560" w:lineRule="exact"/>
        <w:ind w:firstLine="643" w:firstLineChars="200"/>
        <w:jc w:val="both"/>
        <w:rPr>
          <w:rFonts w:ascii="Times New Roman" w:hAnsi="Times New Roman" w:eastAsia="楷体_GB2312"/>
        </w:rPr>
      </w:pPr>
      <w:bookmarkStart w:id="16" w:name="OLE_LINK29"/>
      <w:bookmarkStart w:id="17" w:name="OLE_LINK25"/>
      <w:r>
        <w:rPr>
          <w:rFonts w:ascii="Times New Roman" w:hAnsi="Times New Roman" w:eastAsia="楷体_GB2312"/>
        </w:rPr>
        <w:t>（一）评价情况</w:t>
      </w:r>
    </w:p>
    <w:p w14:paraId="2DEAC287">
      <w:pPr>
        <w:pStyle w:val="9"/>
        <w:widowControl/>
        <w:spacing w:beforeAutospacing="0" w:afterAutospacing="0" w:line="560" w:lineRule="exact"/>
        <w:ind w:firstLine="640" w:firstLineChars="200"/>
        <w:rPr>
          <w:rFonts w:eastAsia="仿宋_GB2312"/>
          <w:sz w:val="32"/>
          <w:szCs w:val="32"/>
        </w:rPr>
      </w:pPr>
      <w:r>
        <w:rPr>
          <w:rFonts w:eastAsia="仿宋_GB2312"/>
          <w:sz w:val="32"/>
          <w:szCs w:val="32"/>
        </w:rPr>
        <w:t>本项目的综合评价基于对项目各方面绩效的深入分析与评估。从项目目标的达成情况来看，</w:t>
      </w:r>
      <w:bookmarkStart w:id="18" w:name="OLE_LINK20"/>
      <w:bookmarkStart w:id="19" w:name="OLE_LINK19"/>
      <w:bookmarkStart w:id="20" w:name="OLE_LINK18"/>
      <w:r>
        <w:rPr>
          <w:rFonts w:hint="eastAsia" w:eastAsia="仿宋_GB2312"/>
          <w:sz w:val="32"/>
          <w:szCs w:val="32"/>
        </w:rPr>
        <w:t>巴财社[2023]83号关于提前下达2024年自治区财政残疾人事业发展补助资金</w:t>
      </w:r>
      <w:bookmarkEnd w:id="18"/>
      <w:bookmarkEnd w:id="19"/>
      <w:bookmarkEnd w:id="20"/>
      <w:r>
        <w:rPr>
          <w:rFonts w:eastAsia="仿宋_GB2312"/>
          <w:sz w:val="32"/>
          <w:szCs w:val="32"/>
        </w:rPr>
        <w:t>项目在</w:t>
      </w:r>
      <w:r>
        <w:rPr>
          <w:rFonts w:hint="eastAsia" w:eastAsia="仿宋_GB2312"/>
          <w:sz w:val="32"/>
          <w:szCs w:val="32"/>
        </w:rPr>
        <w:t>发放残疾学生助学金，提供残疾人基本康复服务，残疾儿童康复救助，困难残疾人家庭无障碍改造，开展全国爱耳日和全国残疾预防日宣传工作</w:t>
      </w:r>
      <w:r>
        <w:rPr>
          <w:rFonts w:eastAsia="仿宋_GB2312"/>
          <w:sz w:val="32"/>
          <w:szCs w:val="32"/>
        </w:rPr>
        <w:t>方面表现出色，达到了预期的标准与要求。同时，项目也在</w:t>
      </w:r>
      <w:r>
        <w:rPr>
          <w:rFonts w:hint="eastAsia" w:eastAsia="仿宋_GB2312"/>
          <w:sz w:val="32"/>
          <w:szCs w:val="32"/>
        </w:rPr>
        <w:t>提高残疾人康复服务水平，保障残疾人生活水平</w:t>
      </w:r>
      <w:r>
        <w:rPr>
          <w:rFonts w:eastAsia="仿宋_GB2312"/>
          <w:sz w:val="32"/>
          <w:szCs w:val="32"/>
        </w:rPr>
        <w:t>取得了显著的成效。</w:t>
      </w:r>
    </w:p>
    <w:p w14:paraId="5E05154A">
      <w:pPr>
        <w:pStyle w:val="9"/>
        <w:widowControl/>
        <w:spacing w:beforeAutospacing="0" w:afterAutospacing="0" w:line="560" w:lineRule="exact"/>
        <w:ind w:firstLine="640" w:firstLineChars="200"/>
        <w:rPr>
          <w:rFonts w:eastAsia="仿宋_GB2312"/>
          <w:sz w:val="32"/>
          <w:szCs w:val="32"/>
        </w:rPr>
      </w:pPr>
      <w:r>
        <w:rPr>
          <w:rFonts w:eastAsia="仿宋_GB2312"/>
          <w:sz w:val="32"/>
          <w:szCs w:val="32"/>
        </w:rPr>
        <w:t>在项目管理方面，</w:t>
      </w:r>
      <w:r>
        <w:rPr>
          <w:rFonts w:hint="eastAsia" w:eastAsia="仿宋_GB2312"/>
          <w:sz w:val="32"/>
          <w:szCs w:val="32"/>
        </w:rPr>
        <w:t>博湖县残疾人联合会</w:t>
      </w:r>
      <w:r>
        <w:rPr>
          <w:rFonts w:eastAsia="仿宋_GB2312"/>
          <w:sz w:val="32"/>
          <w:szCs w:val="32"/>
        </w:rPr>
        <w:t>通过有效的规划、组织与协调，项目得以顺利实施，并在预算与时间上保持了良好的控制。</w:t>
      </w:r>
    </w:p>
    <w:p w14:paraId="3E5680FC">
      <w:pPr>
        <w:pStyle w:val="9"/>
        <w:widowControl/>
        <w:spacing w:beforeAutospacing="0" w:afterAutospacing="0" w:line="560" w:lineRule="exact"/>
        <w:ind w:firstLine="640" w:firstLineChars="200"/>
        <w:rPr>
          <w:rFonts w:eastAsia="仿宋_GB2312"/>
          <w:sz w:val="32"/>
          <w:szCs w:val="32"/>
        </w:rPr>
      </w:pPr>
      <w:r>
        <w:rPr>
          <w:rFonts w:eastAsia="仿宋_GB2312"/>
          <w:sz w:val="32"/>
          <w:szCs w:val="32"/>
        </w:rPr>
        <w:t>从项目效益的角度来看，本项目实现了预期的社会效益、</w:t>
      </w:r>
      <w:r>
        <w:rPr>
          <w:rFonts w:hint="eastAsia" w:eastAsia="仿宋_GB2312"/>
          <w:sz w:val="32"/>
          <w:szCs w:val="32"/>
        </w:rPr>
        <w:t>经济效益</w:t>
      </w:r>
      <w:r>
        <w:rPr>
          <w:rFonts w:eastAsia="仿宋_GB2312"/>
          <w:sz w:val="32"/>
          <w:szCs w:val="32"/>
        </w:rPr>
        <w:t>。具体而言，</w:t>
      </w:r>
      <w:r>
        <w:rPr>
          <w:rFonts w:hint="eastAsia" w:eastAsia="仿宋_GB2312"/>
          <w:sz w:val="32"/>
          <w:szCs w:val="32"/>
        </w:rPr>
        <w:t>提高残疾人康复服务水平、保障残疾人生活水平</w:t>
      </w:r>
      <w:r>
        <w:rPr>
          <w:rFonts w:eastAsia="仿宋_GB2312"/>
          <w:sz w:val="32"/>
          <w:szCs w:val="32"/>
        </w:rPr>
        <w:t>方面的提升，为项目的利益相关者带来了实实在在的利益。</w:t>
      </w:r>
    </w:p>
    <w:p w14:paraId="5681078C">
      <w:pPr>
        <w:pStyle w:val="9"/>
        <w:widowControl/>
        <w:spacing w:beforeAutospacing="0" w:afterAutospacing="0" w:line="560" w:lineRule="exact"/>
        <w:ind w:firstLine="640" w:firstLineChars="200"/>
      </w:pPr>
      <w:r>
        <w:rPr>
          <w:rFonts w:eastAsia="仿宋_GB2312"/>
          <w:sz w:val="32"/>
          <w:szCs w:val="32"/>
        </w:rPr>
        <w:t>综上所述，</w:t>
      </w:r>
      <w:bookmarkStart w:id="21" w:name="OLE_LINK26"/>
      <w:bookmarkStart w:id="22" w:name="OLE_LINK21"/>
      <w:r>
        <w:rPr>
          <w:rFonts w:hint="eastAsia" w:eastAsia="仿宋_GB2312"/>
          <w:sz w:val="32"/>
          <w:szCs w:val="32"/>
        </w:rPr>
        <w:t>巴财社[2023]83号关于提前下达2024年自治区财政残疾人事业发展补助资金</w:t>
      </w:r>
      <w:bookmarkEnd w:id="21"/>
      <w:bookmarkEnd w:id="22"/>
      <w:r>
        <w:rPr>
          <w:rFonts w:eastAsia="仿宋_GB2312"/>
          <w:sz w:val="32"/>
          <w:szCs w:val="32"/>
        </w:rPr>
        <w:t>在绩效评价中表现出色，达到了项目的预期目标，并在多个方面取得了显著的成效。</w:t>
      </w:r>
    </w:p>
    <w:p w14:paraId="0136B1A1">
      <w:pPr>
        <w:pStyle w:val="10"/>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（二）评价结论</w:t>
      </w:r>
    </w:p>
    <w:p w14:paraId="1C3C7394">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运用绩效评价组制定的评价指标体系以及财政部《项目支出绩效评价管理办法》（财预〔2020〕10号）文件的评分标准，通过数据采集方式，对本项目进行客观评价，最终评分结果：总得分为</w:t>
      </w:r>
      <w:r>
        <w:rPr>
          <w:rFonts w:hint="eastAsia" w:ascii="Times New Roman" w:hAnsi="Times New Roman" w:eastAsia="仿宋_GB2312"/>
          <w:b w:val="0"/>
          <w:bCs w:val="0"/>
        </w:rPr>
        <w:t>96.72</w:t>
      </w:r>
      <w:r>
        <w:rPr>
          <w:rFonts w:ascii="Times New Roman" w:hAnsi="Times New Roman" w:eastAsia="仿宋_GB2312"/>
          <w:b w:val="0"/>
          <w:bCs w:val="0"/>
        </w:rPr>
        <w:t xml:space="preserve">分，属于“优”。其中，项目决策类指标权重为20分，得分为 </w:t>
      </w:r>
      <w:r>
        <w:rPr>
          <w:rFonts w:hint="eastAsia" w:ascii="Times New Roman" w:hAnsi="Times New Roman" w:eastAsia="仿宋_GB2312"/>
          <w:b w:val="0"/>
          <w:bCs w:val="0"/>
        </w:rPr>
        <w:t>20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%。项目过程类指标权重为20分，得分为</w:t>
      </w:r>
      <w:r>
        <w:rPr>
          <w:rFonts w:hint="eastAsia" w:ascii="Times New Roman" w:hAnsi="Times New Roman" w:eastAsia="仿宋_GB2312"/>
          <w:b w:val="0"/>
          <w:bCs w:val="0"/>
        </w:rPr>
        <w:t>19.07</w:t>
      </w:r>
      <w:r>
        <w:rPr>
          <w:rFonts w:ascii="Times New Roman" w:hAnsi="Times New Roman" w:eastAsia="仿宋_GB2312"/>
          <w:b w:val="0"/>
          <w:bCs w:val="0"/>
        </w:rPr>
        <w:t>分，得分率为</w:t>
      </w:r>
      <w:r>
        <w:rPr>
          <w:rFonts w:hint="eastAsia" w:ascii="Times New Roman" w:hAnsi="Times New Roman" w:eastAsia="仿宋_GB2312"/>
          <w:b w:val="0"/>
          <w:bCs w:val="0"/>
        </w:rPr>
        <w:t>95.35</w:t>
      </w:r>
      <w:r>
        <w:rPr>
          <w:rFonts w:ascii="Times New Roman" w:hAnsi="Times New Roman" w:eastAsia="仿宋_GB2312"/>
          <w:b w:val="0"/>
          <w:bCs w:val="0"/>
        </w:rPr>
        <w:t>%。项目产出类指标权重为40分，</w:t>
      </w:r>
      <w:bookmarkStart w:id="23" w:name="OLE_LINK23"/>
      <w:bookmarkStart w:id="24" w:name="OLE_LINK22"/>
      <w:r>
        <w:rPr>
          <w:rFonts w:ascii="Times New Roman" w:hAnsi="Times New Roman" w:eastAsia="仿宋_GB2312"/>
          <w:b w:val="0"/>
          <w:bCs w:val="0"/>
        </w:rPr>
        <w:t>得分为</w:t>
      </w:r>
      <w:bookmarkEnd w:id="23"/>
      <w:bookmarkEnd w:id="24"/>
      <w:r>
        <w:rPr>
          <w:rFonts w:hint="eastAsia" w:ascii="Times New Roman" w:hAnsi="Times New Roman" w:eastAsia="仿宋_GB2312"/>
          <w:b w:val="0"/>
          <w:bCs w:val="0"/>
        </w:rPr>
        <w:t>37.65</w:t>
      </w:r>
      <w:r>
        <w:rPr>
          <w:rFonts w:ascii="Times New Roman" w:hAnsi="Times New Roman" w:eastAsia="仿宋_GB2312"/>
          <w:b w:val="0"/>
          <w:bCs w:val="0"/>
        </w:rPr>
        <w:t xml:space="preserve">分，得分率为 </w:t>
      </w:r>
      <w:r>
        <w:rPr>
          <w:rFonts w:hint="eastAsia" w:ascii="Times New Roman" w:hAnsi="Times New Roman" w:eastAsia="仿宋_GB2312"/>
          <w:b w:val="0"/>
          <w:bCs w:val="0"/>
        </w:rPr>
        <w:t>94.12</w:t>
      </w:r>
      <w:r>
        <w:rPr>
          <w:rFonts w:ascii="Times New Roman" w:hAnsi="Times New Roman" w:eastAsia="仿宋_GB2312"/>
          <w:b w:val="0"/>
          <w:bCs w:val="0"/>
        </w:rPr>
        <w:t>%。项目效益类指标权重为20分，得分为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%。具体打分情况详见：附件1综合评分表。</w:t>
      </w:r>
    </w:p>
    <w:p w14:paraId="7EEFEA70">
      <w:pPr>
        <w:pStyle w:val="10"/>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14:paraId="712BF4A5">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vAlign w:val="center"/>
          </w:tcPr>
          <w:p w14:paraId="5507CCB3">
            <w:pPr>
              <w:jc w:val="center"/>
              <w:rPr>
                <w:rFonts w:eastAsia="仿宋_GB2312"/>
                <w:b/>
                <w:bCs/>
                <w:color w:val="000000"/>
                <w:szCs w:val="21"/>
              </w:rPr>
            </w:pPr>
            <w:r>
              <w:rPr>
                <w:rFonts w:eastAsia="仿宋_GB2312"/>
                <w:b/>
                <w:bCs/>
                <w:color w:val="000000"/>
                <w:szCs w:val="21"/>
              </w:rPr>
              <w:t>一级指标</w:t>
            </w:r>
          </w:p>
        </w:tc>
        <w:tc>
          <w:tcPr>
            <w:tcW w:w="2168" w:type="dxa"/>
            <w:tcBorders>
              <w:top w:val="single" w:color="auto" w:sz="4" w:space="0"/>
              <w:left w:val="nil"/>
              <w:bottom w:val="single" w:color="auto" w:sz="4" w:space="0"/>
              <w:right w:val="single" w:color="auto" w:sz="4" w:space="0"/>
            </w:tcBorders>
            <w:shd w:val="clear" w:color="000000" w:fill="BEBEBE"/>
            <w:vAlign w:val="center"/>
          </w:tcPr>
          <w:p w14:paraId="7ABE6EC7">
            <w:pPr>
              <w:jc w:val="center"/>
              <w:rPr>
                <w:rFonts w:eastAsia="仿宋_GB2312"/>
                <w:b/>
                <w:bCs/>
                <w:color w:val="000000"/>
                <w:szCs w:val="21"/>
              </w:rPr>
            </w:pPr>
            <w:r>
              <w:rPr>
                <w:rFonts w:eastAsia="仿宋_GB2312"/>
                <w:b/>
                <w:bCs/>
                <w:color w:val="000000"/>
                <w:szCs w:val="21"/>
              </w:rPr>
              <w:t>权重分</w:t>
            </w:r>
          </w:p>
        </w:tc>
        <w:tc>
          <w:tcPr>
            <w:tcW w:w="2278" w:type="dxa"/>
            <w:tcBorders>
              <w:top w:val="single" w:color="auto" w:sz="4" w:space="0"/>
              <w:left w:val="nil"/>
              <w:bottom w:val="single" w:color="auto" w:sz="4" w:space="0"/>
              <w:right w:val="single" w:color="auto" w:sz="4" w:space="0"/>
            </w:tcBorders>
            <w:shd w:val="clear" w:color="000000" w:fill="BEBEBE"/>
            <w:vAlign w:val="center"/>
          </w:tcPr>
          <w:p w14:paraId="7A90A1CB">
            <w:pPr>
              <w:jc w:val="center"/>
              <w:rPr>
                <w:rFonts w:eastAsia="仿宋_GB2312"/>
                <w:b/>
                <w:bCs/>
                <w:color w:val="000000"/>
                <w:szCs w:val="21"/>
              </w:rPr>
            </w:pPr>
            <w:r>
              <w:rPr>
                <w:rFonts w:eastAsia="仿宋_GB2312"/>
                <w:b/>
                <w:bCs/>
                <w:color w:val="000000"/>
                <w:szCs w:val="21"/>
              </w:rPr>
              <w:t>得分</w:t>
            </w:r>
          </w:p>
        </w:tc>
      </w:tr>
      <w:tr w14:paraId="030B638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789A601">
            <w:pPr>
              <w:jc w:val="center"/>
              <w:rPr>
                <w:rFonts w:eastAsia="仿宋_GB2312"/>
                <w:color w:val="000000"/>
                <w:szCs w:val="21"/>
              </w:rPr>
            </w:pPr>
            <w:r>
              <w:rPr>
                <w:rFonts w:eastAsia="仿宋_GB2312"/>
                <w:color w:val="000000"/>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0AC8646B">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14:paraId="1B36461F">
            <w:pPr>
              <w:jc w:val="center"/>
              <w:rPr>
                <w:rFonts w:eastAsia="仿宋_GB2312"/>
                <w:color w:val="000000"/>
                <w:szCs w:val="21"/>
              </w:rPr>
            </w:pPr>
            <w:r>
              <w:rPr>
                <w:rFonts w:hint="eastAsia" w:eastAsia="仿宋_GB2312"/>
                <w:color w:val="000000"/>
                <w:szCs w:val="21"/>
              </w:rPr>
              <w:t>20</w:t>
            </w:r>
          </w:p>
        </w:tc>
      </w:tr>
      <w:tr w14:paraId="53A15F2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1408C21">
            <w:pPr>
              <w:jc w:val="center"/>
              <w:rPr>
                <w:rFonts w:eastAsia="仿宋_GB2312"/>
                <w:color w:val="000000"/>
                <w:szCs w:val="21"/>
              </w:rPr>
            </w:pPr>
            <w:r>
              <w:rPr>
                <w:rFonts w:eastAsia="仿宋_GB2312"/>
                <w:color w:val="000000"/>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1D6E4BBF">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14:paraId="57EF2B93">
            <w:pPr>
              <w:jc w:val="center"/>
              <w:rPr>
                <w:rFonts w:eastAsia="仿宋_GB2312"/>
                <w:color w:val="000000"/>
                <w:szCs w:val="21"/>
              </w:rPr>
            </w:pPr>
            <w:r>
              <w:rPr>
                <w:rFonts w:hint="eastAsia" w:eastAsia="仿宋_GB2312"/>
                <w:color w:val="000000"/>
                <w:szCs w:val="21"/>
              </w:rPr>
              <w:t>19.07</w:t>
            </w:r>
          </w:p>
        </w:tc>
      </w:tr>
      <w:tr w14:paraId="62E2F1F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E7F68E5">
            <w:pPr>
              <w:jc w:val="center"/>
              <w:rPr>
                <w:rFonts w:eastAsia="仿宋_GB2312"/>
                <w:color w:val="000000"/>
                <w:szCs w:val="21"/>
              </w:rPr>
            </w:pPr>
            <w:r>
              <w:rPr>
                <w:rFonts w:eastAsia="仿宋_GB2312"/>
                <w:color w:val="000000"/>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2107D8B1">
            <w:pPr>
              <w:jc w:val="center"/>
              <w:rPr>
                <w:rFonts w:eastAsia="仿宋_GB2312"/>
                <w:color w:val="000000"/>
                <w:szCs w:val="21"/>
              </w:rPr>
            </w:pPr>
            <w:r>
              <w:rPr>
                <w:rFonts w:eastAsia="仿宋_GB2312"/>
                <w:color w:val="000000"/>
                <w:szCs w:val="21"/>
              </w:rPr>
              <w:t>40</w:t>
            </w:r>
          </w:p>
        </w:tc>
        <w:tc>
          <w:tcPr>
            <w:tcW w:w="2278" w:type="dxa"/>
            <w:tcBorders>
              <w:top w:val="nil"/>
              <w:left w:val="nil"/>
              <w:bottom w:val="single" w:color="auto" w:sz="4" w:space="0"/>
              <w:right w:val="single" w:color="auto" w:sz="4" w:space="0"/>
            </w:tcBorders>
            <w:shd w:val="clear" w:color="auto" w:fill="auto"/>
            <w:vAlign w:val="center"/>
          </w:tcPr>
          <w:p w14:paraId="739C5923">
            <w:pPr>
              <w:jc w:val="center"/>
              <w:rPr>
                <w:rFonts w:eastAsia="仿宋_GB2312"/>
                <w:color w:val="000000"/>
                <w:szCs w:val="21"/>
              </w:rPr>
            </w:pPr>
            <w:r>
              <w:rPr>
                <w:rFonts w:hint="eastAsia" w:eastAsia="仿宋_GB2312"/>
                <w:color w:val="000000"/>
                <w:szCs w:val="21"/>
              </w:rPr>
              <w:t>37.65</w:t>
            </w:r>
          </w:p>
        </w:tc>
      </w:tr>
      <w:tr w14:paraId="1A05587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57A8C8C">
            <w:pPr>
              <w:jc w:val="center"/>
              <w:rPr>
                <w:rFonts w:eastAsia="仿宋_GB2312"/>
                <w:color w:val="000000"/>
                <w:szCs w:val="21"/>
              </w:rPr>
            </w:pPr>
            <w:r>
              <w:rPr>
                <w:rFonts w:eastAsia="仿宋_GB2312"/>
                <w:color w:val="000000"/>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6623100C">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14:paraId="6233F19E">
            <w:pPr>
              <w:jc w:val="center"/>
              <w:rPr>
                <w:rFonts w:eastAsia="仿宋_GB2312"/>
                <w:color w:val="000000"/>
                <w:szCs w:val="21"/>
              </w:rPr>
            </w:pPr>
            <w:r>
              <w:rPr>
                <w:rFonts w:hint="eastAsia" w:eastAsia="仿宋_GB2312"/>
                <w:color w:val="000000"/>
                <w:szCs w:val="21"/>
              </w:rPr>
              <w:t>20</w:t>
            </w:r>
          </w:p>
        </w:tc>
      </w:tr>
      <w:tr w14:paraId="3ECCE9C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FCE0FAE">
            <w:pPr>
              <w:jc w:val="center"/>
              <w:rPr>
                <w:rFonts w:eastAsia="仿宋_GB2312"/>
                <w:b/>
                <w:bCs/>
                <w:color w:val="000000"/>
                <w:szCs w:val="21"/>
              </w:rPr>
            </w:pPr>
            <w:r>
              <w:rPr>
                <w:rFonts w:eastAsia="仿宋_GB2312"/>
                <w:b/>
                <w:bCs/>
                <w:color w:val="000000"/>
                <w:szCs w:val="21"/>
              </w:rPr>
              <w:t>合计</w:t>
            </w:r>
          </w:p>
        </w:tc>
        <w:tc>
          <w:tcPr>
            <w:tcW w:w="2168" w:type="dxa"/>
            <w:tcBorders>
              <w:top w:val="nil"/>
              <w:left w:val="nil"/>
              <w:bottom w:val="single" w:color="auto" w:sz="4" w:space="0"/>
              <w:right w:val="single" w:color="auto" w:sz="4" w:space="0"/>
            </w:tcBorders>
            <w:shd w:val="clear" w:color="auto" w:fill="auto"/>
            <w:vAlign w:val="center"/>
          </w:tcPr>
          <w:p w14:paraId="7156F5FD">
            <w:pPr>
              <w:jc w:val="center"/>
              <w:rPr>
                <w:rFonts w:eastAsia="仿宋_GB2312"/>
                <w:b/>
                <w:bCs/>
                <w:color w:val="000000"/>
                <w:szCs w:val="21"/>
              </w:rPr>
            </w:pPr>
            <w:r>
              <w:rPr>
                <w:rFonts w:eastAsia="仿宋_GB2312"/>
                <w:b/>
                <w:bCs/>
                <w:color w:val="000000"/>
                <w:szCs w:val="21"/>
              </w:rPr>
              <w:t>100</w:t>
            </w:r>
          </w:p>
        </w:tc>
        <w:tc>
          <w:tcPr>
            <w:tcW w:w="2278" w:type="dxa"/>
            <w:tcBorders>
              <w:top w:val="nil"/>
              <w:left w:val="nil"/>
              <w:bottom w:val="single" w:color="auto" w:sz="4" w:space="0"/>
              <w:right w:val="single" w:color="auto" w:sz="4" w:space="0"/>
            </w:tcBorders>
            <w:shd w:val="clear" w:color="auto" w:fill="auto"/>
            <w:vAlign w:val="center"/>
          </w:tcPr>
          <w:p w14:paraId="3EA8EF6C">
            <w:pPr>
              <w:jc w:val="center"/>
              <w:rPr>
                <w:rFonts w:eastAsia="仿宋_GB2312"/>
                <w:b/>
                <w:bCs/>
                <w:color w:val="000000"/>
                <w:szCs w:val="21"/>
              </w:rPr>
            </w:pPr>
            <w:r>
              <w:rPr>
                <w:rFonts w:hint="eastAsia" w:eastAsia="仿宋_GB2312"/>
                <w:b/>
                <w:bCs/>
                <w:color w:val="000000"/>
                <w:szCs w:val="21"/>
              </w:rPr>
              <w:t>96.72</w:t>
            </w:r>
            <w:bookmarkEnd w:id="16"/>
            <w:bookmarkEnd w:id="17"/>
          </w:p>
        </w:tc>
      </w:tr>
    </w:tbl>
    <w:p w14:paraId="01916F66">
      <w:pPr>
        <w:spacing w:line="560" w:lineRule="exact"/>
        <w:ind w:firstLine="640" w:firstLineChars="200"/>
        <w:rPr>
          <w:rFonts w:eastAsia="黑体"/>
          <w:sz w:val="32"/>
          <w:szCs w:val="32"/>
        </w:rPr>
      </w:pPr>
      <w:r>
        <w:rPr>
          <w:rFonts w:eastAsia="黑体"/>
          <w:sz w:val="32"/>
          <w:szCs w:val="32"/>
        </w:rPr>
        <w:t>四、绩效评价指标分析</w:t>
      </w:r>
    </w:p>
    <w:p w14:paraId="22689760">
      <w:pPr>
        <w:pStyle w:val="10"/>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308BDB89">
      <w:pPr>
        <w:spacing w:line="600" w:lineRule="exact"/>
        <w:ind w:firstLine="640" w:firstLineChars="200"/>
        <w:outlineLvl w:val="0"/>
        <w:rPr>
          <w:rFonts w:eastAsia="仿宋_GB2312"/>
          <w:sz w:val="32"/>
          <w:szCs w:val="32"/>
        </w:rPr>
      </w:pPr>
      <w:bookmarkStart w:id="25" w:name="OLE_LINK31"/>
      <w:bookmarkStart w:id="26" w:name="OLE_LINK30"/>
      <w:r>
        <w:rPr>
          <w:rFonts w:eastAsia="仿宋_GB2312"/>
          <w:sz w:val="32"/>
          <w:szCs w:val="32"/>
        </w:rPr>
        <w:t>项目决策类指标包括项目立项、绩效目标和资金投入三方面的内容，由</w:t>
      </w:r>
      <w:r>
        <w:rPr>
          <w:rFonts w:hint="eastAsia" w:eastAsia="仿宋_GB2312"/>
          <w:sz w:val="32"/>
          <w:szCs w:val="32"/>
        </w:rPr>
        <w:t>6</w:t>
      </w:r>
      <w:r>
        <w:rPr>
          <w:rFonts w:eastAsia="仿宋_GB2312"/>
          <w:sz w:val="32"/>
          <w:szCs w:val="32"/>
        </w:rPr>
        <w:t>三级指标构成，权重分值为20分，实际得分</w:t>
      </w:r>
      <w:r>
        <w:rPr>
          <w:rFonts w:hint="eastAsia" w:eastAsia="仿宋_GB2312"/>
          <w:sz w:val="32"/>
          <w:szCs w:val="32"/>
        </w:rPr>
        <w:t>20</w:t>
      </w:r>
      <w:r>
        <w:rPr>
          <w:rFonts w:eastAsia="仿宋_GB2312"/>
          <w:sz w:val="32"/>
          <w:szCs w:val="32"/>
        </w:rPr>
        <w:t>分，得分</w:t>
      </w:r>
      <w:r>
        <w:rPr>
          <w:rFonts w:hint="eastAsia" w:eastAsia="仿宋_GB2312"/>
          <w:sz w:val="32"/>
          <w:szCs w:val="32"/>
        </w:rPr>
        <w:t>率100%。</w:t>
      </w:r>
    </w:p>
    <w:p w14:paraId="53E10190">
      <w:pPr>
        <w:pStyle w:val="21"/>
        <w:spacing w:line="560" w:lineRule="exact"/>
        <w:ind w:firstLine="640"/>
        <w:rPr>
          <w:rFonts w:eastAsia="仿宋_GB2312"/>
          <w:b/>
          <w:bCs/>
          <w:sz w:val="32"/>
          <w:szCs w:val="32"/>
        </w:rPr>
      </w:pPr>
      <w:r>
        <w:rPr>
          <w:rFonts w:eastAsia="仿宋_GB2312"/>
          <w:b/>
          <w:bCs/>
          <w:sz w:val="32"/>
          <w:szCs w:val="32"/>
        </w:rPr>
        <w:t>1.项目立项</w:t>
      </w:r>
    </w:p>
    <w:p w14:paraId="7594EC10">
      <w:pPr>
        <w:spacing w:line="600" w:lineRule="exact"/>
        <w:ind w:firstLine="640" w:firstLineChars="200"/>
        <w:outlineLvl w:val="0"/>
        <w:rPr>
          <w:rFonts w:eastAsia="仿宋_GB2312"/>
          <w:sz w:val="32"/>
          <w:szCs w:val="32"/>
        </w:rPr>
      </w:pPr>
      <w:r>
        <w:rPr>
          <w:rFonts w:eastAsia="仿宋_GB2312"/>
          <w:sz w:val="32"/>
          <w:szCs w:val="32"/>
        </w:rPr>
        <w:t>（1）立项依据充分性</w:t>
      </w:r>
    </w:p>
    <w:p w14:paraId="57131AEB">
      <w:pPr>
        <w:spacing w:line="600" w:lineRule="exact"/>
        <w:ind w:firstLine="640" w:firstLineChars="200"/>
        <w:outlineLvl w:val="0"/>
        <w:rPr>
          <w:rFonts w:eastAsia="仿宋_GB2312"/>
          <w:sz w:val="32"/>
          <w:szCs w:val="32"/>
        </w:rPr>
      </w:pPr>
      <w:bookmarkStart w:id="27" w:name="OLE_LINK24"/>
      <w:r>
        <w:rPr>
          <w:rFonts w:hint="eastAsia" w:eastAsia="仿宋_GB2312"/>
          <w:sz w:val="32"/>
          <w:szCs w:val="32"/>
        </w:rPr>
        <w:t>根据《关于下拨2022年中央、自治区、自治州残疾人事业发展补助资金方案工作提示》，该项目符</w:t>
      </w:r>
      <w:bookmarkEnd w:id="27"/>
      <w:bookmarkStart w:id="28" w:name="OLE_LINK27"/>
      <w:bookmarkStart w:id="29" w:name="OLE_LINK28"/>
      <w:r>
        <w:rPr>
          <w:rFonts w:hint="eastAsia" w:eastAsia="仿宋_GB2312"/>
          <w:sz w:val="32"/>
          <w:szCs w:val="32"/>
        </w:rPr>
        <w:t>合国家相关法律法规及发展政策，符合行业规划要求，围绕本年度工作重点和工作计划制定经费预算，属于公共财政支持范围。本项目与部门内部其他相关项目不重复。部门发展规划及职能文件等归档完整。</w:t>
      </w:r>
      <w:bookmarkEnd w:id="28"/>
      <w:bookmarkEnd w:id="29"/>
    </w:p>
    <w:p w14:paraId="3F234510">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14:paraId="4E413027">
      <w:pPr>
        <w:spacing w:line="600" w:lineRule="exact"/>
        <w:ind w:firstLine="640" w:firstLineChars="200"/>
        <w:outlineLvl w:val="0"/>
        <w:rPr>
          <w:rFonts w:eastAsia="仿宋_GB2312"/>
          <w:sz w:val="32"/>
          <w:szCs w:val="32"/>
        </w:rPr>
      </w:pPr>
      <w:r>
        <w:rPr>
          <w:rFonts w:eastAsia="仿宋_GB2312"/>
          <w:sz w:val="32"/>
          <w:szCs w:val="32"/>
        </w:rPr>
        <w:t>（2）立项程序规范性</w:t>
      </w:r>
    </w:p>
    <w:p w14:paraId="0A31B5E0">
      <w:pPr>
        <w:spacing w:line="600" w:lineRule="exact"/>
        <w:ind w:firstLine="640" w:firstLineChars="200"/>
        <w:outlineLvl w:val="0"/>
        <w:rPr>
          <w:rFonts w:eastAsia="仿宋_GB2312"/>
          <w:sz w:val="32"/>
          <w:szCs w:val="32"/>
        </w:rPr>
      </w:pPr>
      <w:r>
        <w:rPr>
          <w:rFonts w:eastAsia="仿宋_GB2312"/>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集体决策，保障了程序的规范性。</w:t>
      </w:r>
    </w:p>
    <w:p w14:paraId="79B1058B">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14:paraId="6E1B1970">
      <w:pPr>
        <w:pStyle w:val="21"/>
        <w:spacing w:line="560" w:lineRule="exact"/>
        <w:ind w:firstLine="640"/>
        <w:rPr>
          <w:rFonts w:eastAsia="仿宋_GB2312"/>
          <w:b/>
          <w:bCs/>
          <w:sz w:val="32"/>
          <w:szCs w:val="32"/>
        </w:rPr>
      </w:pPr>
      <w:r>
        <w:rPr>
          <w:rFonts w:eastAsia="仿宋_GB2312"/>
          <w:b/>
          <w:bCs/>
          <w:sz w:val="32"/>
          <w:szCs w:val="32"/>
        </w:rPr>
        <w:t>2.绩效目标</w:t>
      </w:r>
    </w:p>
    <w:p w14:paraId="1011BEE9">
      <w:pPr>
        <w:spacing w:line="600" w:lineRule="exact"/>
        <w:ind w:firstLine="640" w:firstLineChars="200"/>
        <w:outlineLvl w:val="0"/>
        <w:rPr>
          <w:rFonts w:eastAsia="仿宋_GB2312"/>
          <w:sz w:val="32"/>
          <w:szCs w:val="32"/>
        </w:rPr>
      </w:pPr>
      <w:r>
        <w:rPr>
          <w:rFonts w:eastAsia="仿宋_GB2312"/>
          <w:sz w:val="32"/>
          <w:szCs w:val="32"/>
        </w:rPr>
        <w:t>（1）绩效目标合理性</w:t>
      </w:r>
    </w:p>
    <w:p w14:paraId="1EBB64DB">
      <w:pPr>
        <w:spacing w:line="600" w:lineRule="exact"/>
        <w:ind w:firstLine="640" w:firstLineChars="200"/>
        <w:outlineLvl w:val="0"/>
        <w:rPr>
          <w:rFonts w:eastAsia="仿宋_GB2312"/>
          <w:sz w:val="32"/>
          <w:szCs w:val="32"/>
        </w:rPr>
      </w:pPr>
      <w:r>
        <w:rPr>
          <w:rFonts w:eastAsia="仿宋_GB2312"/>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3B938BD3">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14:paraId="7CA90817">
      <w:pPr>
        <w:spacing w:line="600" w:lineRule="exact"/>
        <w:ind w:firstLine="640" w:firstLineChars="200"/>
        <w:outlineLvl w:val="0"/>
        <w:rPr>
          <w:rFonts w:eastAsia="仿宋_GB2312"/>
          <w:sz w:val="32"/>
          <w:szCs w:val="32"/>
        </w:rPr>
      </w:pPr>
      <w:r>
        <w:rPr>
          <w:rFonts w:eastAsia="仿宋_GB2312"/>
          <w:sz w:val="32"/>
          <w:szCs w:val="32"/>
        </w:rPr>
        <w:t>（2）绩效指标明确性</w:t>
      </w:r>
    </w:p>
    <w:p w14:paraId="1EEDC4D2">
      <w:pPr>
        <w:spacing w:line="600" w:lineRule="exact"/>
        <w:ind w:firstLine="640" w:firstLineChars="20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084BC65E">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14:paraId="5CF8BB56">
      <w:pPr>
        <w:pStyle w:val="21"/>
        <w:spacing w:line="560" w:lineRule="exact"/>
        <w:ind w:firstLine="640"/>
        <w:rPr>
          <w:rFonts w:eastAsia="仿宋_GB2312"/>
          <w:b/>
          <w:bCs/>
          <w:sz w:val="32"/>
          <w:szCs w:val="32"/>
        </w:rPr>
      </w:pPr>
      <w:r>
        <w:rPr>
          <w:rFonts w:eastAsia="仿宋_GB2312"/>
          <w:b/>
          <w:bCs/>
          <w:sz w:val="32"/>
          <w:szCs w:val="32"/>
        </w:rPr>
        <w:t>3.资金投入</w:t>
      </w:r>
    </w:p>
    <w:p w14:paraId="0457323A">
      <w:pPr>
        <w:spacing w:line="600" w:lineRule="exact"/>
        <w:ind w:firstLine="640" w:firstLineChars="200"/>
        <w:outlineLvl w:val="0"/>
        <w:rPr>
          <w:rFonts w:eastAsia="仿宋_GB2312"/>
          <w:sz w:val="32"/>
          <w:szCs w:val="32"/>
        </w:rPr>
      </w:pPr>
      <w:r>
        <w:rPr>
          <w:rFonts w:eastAsia="仿宋_GB2312"/>
          <w:sz w:val="32"/>
          <w:szCs w:val="32"/>
        </w:rPr>
        <w:t>（1）预算编制科学性</w:t>
      </w:r>
    </w:p>
    <w:p w14:paraId="50591929">
      <w:pPr>
        <w:spacing w:line="560" w:lineRule="exact"/>
        <w:ind w:firstLine="640" w:firstLineChars="20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65577746">
      <w:pPr>
        <w:spacing w:line="600" w:lineRule="exact"/>
        <w:ind w:firstLine="640" w:firstLineChars="20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1E7DB70D">
      <w:pPr>
        <w:spacing w:line="600" w:lineRule="exact"/>
        <w:ind w:firstLine="640" w:firstLineChars="200"/>
        <w:outlineLvl w:val="0"/>
        <w:rPr>
          <w:rFonts w:eastAsia="仿宋_GB2312"/>
          <w:sz w:val="32"/>
          <w:szCs w:val="32"/>
          <w:highlight w:val="green"/>
        </w:rPr>
      </w:pPr>
      <w:r>
        <w:rPr>
          <w:rFonts w:hint="eastAsia" w:eastAsia="仿宋_GB2312"/>
          <w:sz w:val="32"/>
          <w:szCs w:val="32"/>
        </w:rPr>
        <w:t>此项权重分值为4分，得分为4分。</w:t>
      </w:r>
    </w:p>
    <w:p w14:paraId="6BBEA0A1">
      <w:pPr>
        <w:spacing w:line="600" w:lineRule="exact"/>
        <w:ind w:firstLine="640" w:firstLineChars="200"/>
        <w:outlineLvl w:val="0"/>
        <w:rPr>
          <w:rFonts w:eastAsia="仿宋_GB2312"/>
          <w:sz w:val="32"/>
          <w:szCs w:val="32"/>
        </w:rPr>
      </w:pPr>
      <w:r>
        <w:rPr>
          <w:rFonts w:eastAsia="仿宋_GB2312"/>
          <w:sz w:val="32"/>
          <w:szCs w:val="32"/>
        </w:rPr>
        <w:t>（2）资金分配合理性</w:t>
      </w:r>
    </w:p>
    <w:p w14:paraId="7F0AE5C6">
      <w:pPr>
        <w:spacing w:line="560" w:lineRule="exact"/>
        <w:ind w:firstLine="640" w:firstLineChars="20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4AAD71E1">
      <w:pPr>
        <w:spacing w:line="560" w:lineRule="exact"/>
        <w:ind w:firstLine="640" w:firstLineChars="20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5B4F0E60">
      <w:pPr>
        <w:spacing w:line="560" w:lineRule="exact"/>
        <w:ind w:firstLine="640" w:firstLineChars="20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4A060842">
      <w:pPr>
        <w:spacing w:line="560" w:lineRule="exact"/>
        <w:ind w:firstLine="640" w:firstLineChars="200"/>
        <w:rPr>
          <w:rFonts w:eastAsia="仿宋_GB2312"/>
          <w:sz w:val="32"/>
          <w:szCs w:val="32"/>
          <w:highlight w:val="green"/>
        </w:rPr>
      </w:pPr>
      <w:r>
        <w:rPr>
          <w:rFonts w:hint="eastAsia" w:eastAsia="仿宋_GB2312"/>
          <w:sz w:val="32"/>
          <w:szCs w:val="32"/>
        </w:rPr>
        <w:t>此项权重分值为4分，得分为4分。</w:t>
      </w:r>
      <w:bookmarkEnd w:id="25"/>
      <w:bookmarkEnd w:id="26"/>
    </w:p>
    <w:p w14:paraId="5F041C01">
      <w:pPr>
        <w:pStyle w:val="10"/>
        <w:numPr>
          <w:ilvl w:val="0"/>
          <w:numId w:val="4"/>
        </w:numPr>
        <w:spacing w:before="0" w:after="0" w:line="560" w:lineRule="exact"/>
        <w:ind w:firstLine="643" w:firstLineChars="200"/>
        <w:jc w:val="both"/>
        <w:rPr>
          <w:rFonts w:ascii="Times New Roman" w:hAnsi="Times New Roman" w:eastAsia="楷体"/>
        </w:rPr>
      </w:pPr>
      <w:r>
        <w:rPr>
          <w:rFonts w:ascii="Times New Roman" w:hAnsi="Times New Roman" w:eastAsia="楷体"/>
        </w:rPr>
        <w:t>项目过程情况</w:t>
      </w:r>
    </w:p>
    <w:p w14:paraId="4B05F6EB">
      <w:pPr>
        <w:spacing w:line="600" w:lineRule="exact"/>
        <w:ind w:firstLine="640" w:firstLineChars="200"/>
        <w:outlineLvl w:val="0"/>
        <w:rPr>
          <w:rFonts w:eastAsia="仿宋_GB2312"/>
          <w:sz w:val="32"/>
          <w:szCs w:val="32"/>
        </w:rPr>
      </w:pPr>
      <w:bookmarkStart w:id="30" w:name="OLE_LINK32"/>
      <w:r>
        <w:rPr>
          <w:rFonts w:eastAsia="仿宋_GB2312"/>
          <w:sz w:val="32"/>
          <w:szCs w:val="32"/>
        </w:rPr>
        <w:t>项目过程类指标包括资金管理和组织实施两方面的内容，由5个三级指标构成，权重分值为20分，实际得分</w:t>
      </w:r>
      <w:r>
        <w:rPr>
          <w:rFonts w:hint="eastAsia" w:eastAsia="仿宋_GB2312"/>
          <w:sz w:val="32"/>
          <w:szCs w:val="32"/>
        </w:rPr>
        <w:t>19.07</w:t>
      </w:r>
      <w:r>
        <w:rPr>
          <w:rFonts w:eastAsia="仿宋_GB2312"/>
          <w:sz w:val="32"/>
          <w:szCs w:val="32"/>
        </w:rPr>
        <w:t>分，得分率</w:t>
      </w:r>
      <w:r>
        <w:rPr>
          <w:rFonts w:hint="eastAsia" w:eastAsia="仿宋_GB2312"/>
          <w:sz w:val="32"/>
          <w:szCs w:val="32"/>
        </w:rPr>
        <w:t>95.35%。</w:t>
      </w:r>
    </w:p>
    <w:p w14:paraId="6BEDD75A">
      <w:pPr>
        <w:pStyle w:val="21"/>
        <w:spacing w:line="560" w:lineRule="exact"/>
        <w:ind w:firstLine="640"/>
        <w:rPr>
          <w:rFonts w:eastAsia="仿宋_GB2312"/>
          <w:b/>
          <w:bCs/>
          <w:sz w:val="32"/>
          <w:szCs w:val="32"/>
        </w:rPr>
      </w:pPr>
      <w:r>
        <w:rPr>
          <w:rFonts w:eastAsia="仿宋_GB2312"/>
          <w:b/>
          <w:bCs/>
          <w:sz w:val="32"/>
          <w:szCs w:val="32"/>
        </w:rPr>
        <w:t>1.资金管理</w:t>
      </w:r>
    </w:p>
    <w:p w14:paraId="20CA2EB5">
      <w:pPr>
        <w:spacing w:line="600" w:lineRule="exact"/>
        <w:ind w:firstLine="640" w:firstLineChars="200"/>
        <w:outlineLvl w:val="0"/>
        <w:rPr>
          <w:rFonts w:eastAsia="仿宋_GB2312"/>
          <w:sz w:val="32"/>
          <w:szCs w:val="32"/>
        </w:rPr>
      </w:pPr>
      <w:r>
        <w:rPr>
          <w:rFonts w:eastAsia="仿宋_GB2312"/>
          <w:sz w:val="32"/>
          <w:szCs w:val="32"/>
        </w:rPr>
        <w:t>（1）资金到位率</w:t>
      </w:r>
    </w:p>
    <w:p w14:paraId="576C4BAA">
      <w:pPr>
        <w:spacing w:line="600" w:lineRule="exact"/>
        <w:ind w:firstLine="640" w:firstLineChars="200"/>
        <w:outlineLvl w:val="0"/>
        <w:rPr>
          <w:rFonts w:eastAsia="仿宋_GB2312"/>
          <w:sz w:val="32"/>
          <w:szCs w:val="32"/>
        </w:rPr>
      </w:pPr>
      <w:r>
        <w:rPr>
          <w:rFonts w:eastAsia="仿宋_GB2312"/>
          <w:sz w:val="32"/>
          <w:szCs w:val="32"/>
        </w:rPr>
        <w:t>本项目总投资</w:t>
      </w:r>
      <w:r>
        <w:rPr>
          <w:rFonts w:hint="eastAsia" w:eastAsia="仿宋_GB2312"/>
          <w:sz w:val="32"/>
          <w:szCs w:val="32"/>
        </w:rPr>
        <w:t>1.63</w:t>
      </w:r>
      <w:r>
        <w:rPr>
          <w:rFonts w:eastAsia="仿宋_GB2312"/>
          <w:sz w:val="32"/>
          <w:szCs w:val="32"/>
        </w:rPr>
        <w:t>万元，财政资金及时足额到位，到位率</w:t>
      </w:r>
      <w:r>
        <w:rPr>
          <w:rFonts w:hint="eastAsia" w:eastAsia="仿宋_GB2312"/>
          <w:sz w:val="32"/>
          <w:szCs w:val="32"/>
        </w:rPr>
        <w:t>100</w:t>
      </w:r>
      <w:r>
        <w:rPr>
          <w:rFonts w:eastAsia="仿宋_GB2312"/>
          <w:sz w:val="32"/>
          <w:szCs w:val="32"/>
        </w:rPr>
        <w:t>%，预算资金按计划进度执行。</w:t>
      </w:r>
    </w:p>
    <w:p w14:paraId="3198A4C5">
      <w:pPr>
        <w:spacing w:line="600" w:lineRule="exact"/>
        <w:ind w:firstLine="640" w:firstLineChars="200"/>
        <w:outlineLvl w:val="0"/>
        <w:rPr>
          <w:rFonts w:eastAsia="仿宋_GB2312"/>
          <w:sz w:val="32"/>
          <w:szCs w:val="32"/>
        </w:rPr>
      </w:pPr>
      <w:r>
        <w:rPr>
          <w:rFonts w:hint="eastAsia" w:eastAsia="仿宋_GB2312"/>
          <w:sz w:val="32"/>
          <w:szCs w:val="32"/>
        </w:rPr>
        <w:t>此项权重分值为4分，得分为4分。</w:t>
      </w:r>
    </w:p>
    <w:p w14:paraId="54366F90">
      <w:pPr>
        <w:spacing w:line="600" w:lineRule="exact"/>
        <w:ind w:firstLine="640" w:firstLineChars="200"/>
        <w:outlineLvl w:val="0"/>
        <w:rPr>
          <w:rFonts w:eastAsia="仿宋_GB2312"/>
          <w:sz w:val="32"/>
          <w:szCs w:val="32"/>
        </w:rPr>
      </w:pPr>
      <w:r>
        <w:rPr>
          <w:rFonts w:eastAsia="仿宋_GB2312"/>
          <w:sz w:val="32"/>
          <w:szCs w:val="32"/>
        </w:rPr>
        <w:t>（2）预算执行率</w:t>
      </w:r>
    </w:p>
    <w:p w14:paraId="6741DECD">
      <w:pPr>
        <w:spacing w:line="600" w:lineRule="exact"/>
        <w:ind w:firstLine="640" w:firstLineChars="200"/>
        <w:outlineLvl w:val="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rPr>
        <w:t>1.25</w:t>
      </w:r>
      <w:r>
        <w:rPr>
          <w:rFonts w:eastAsia="仿宋_GB2312"/>
          <w:sz w:val="32"/>
          <w:szCs w:val="32"/>
        </w:rPr>
        <w:t>万元，预算执行率</w:t>
      </w:r>
      <w:r>
        <w:rPr>
          <w:rFonts w:hint="eastAsia" w:eastAsia="仿宋_GB2312"/>
          <w:sz w:val="32"/>
          <w:szCs w:val="32"/>
        </w:rPr>
        <w:t>76.69%。</w:t>
      </w:r>
    </w:p>
    <w:p w14:paraId="3F639409">
      <w:pPr>
        <w:spacing w:line="600" w:lineRule="exact"/>
        <w:ind w:firstLine="640" w:firstLineChars="200"/>
        <w:outlineLvl w:val="0"/>
        <w:rPr>
          <w:rFonts w:eastAsia="仿宋_GB2312"/>
          <w:sz w:val="32"/>
          <w:szCs w:val="32"/>
        </w:rPr>
      </w:pPr>
      <w:r>
        <w:rPr>
          <w:rFonts w:hint="eastAsia" w:eastAsia="仿宋_GB2312"/>
          <w:sz w:val="32"/>
          <w:szCs w:val="32"/>
        </w:rPr>
        <w:t>此项权重分值为4分，得分为3.07分。</w:t>
      </w:r>
    </w:p>
    <w:p w14:paraId="208FA829">
      <w:pPr>
        <w:spacing w:line="600" w:lineRule="exact"/>
        <w:ind w:firstLine="640" w:firstLineChars="200"/>
        <w:outlineLvl w:val="0"/>
        <w:rPr>
          <w:rFonts w:eastAsia="仿宋_GB2312"/>
          <w:sz w:val="32"/>
          <w:szCs w:val="32"/>
        </w:rPr>
      </w:pPr>
      <w:r>
        <w:rPr>
          <w:rFonts w:eastAsia="仿宋_GB2312"/>
          <w:sz w:val="32"/>
          <w:szCs w:val="32"/>
        </w:rPr>
        <w:t>（3）资金使用合规性</w:t>
      </w:r>
    </w:p>
    <w:p w14:paraId="7E823F6F">
      <w:pPr>
        <w:spacing w:line="560" w:lineRule="exact"/>
        <w:ind w:firstLine="640" w:firstLineChars="200"/>
        <w:rPr>
          <w:rFonts w:eastAsia="仿宋_GB2312"/>
          <w:sz w:val="32"/>
          <w:szCs w:val="32"/>
        </w:rPr>
      </w:pPr>
      <w:r>
        <w:rPr>
          <w:rFonts w:eastAsia="仿宋_GB2312"/>
          <w:sz w:val="32"/>
          <w:szCs w:val="32"/>
        </w:rPr>
        <w:t>本项目的资金使用严格遵循了国家相关法律法规与财务制度，确保了资金的合规性与安全性。在资金使用过程中，我们建立了完善的财务管理体系，对资金的流动进行了全程监控与记录。</w:t>
      </w:r>
    </w:p>
    <w:p w14:paraId="467517BB">
      <w:pPr>
        <w:spacing w:line="560" w:lineRule="exact"/>
        <w:ind w:firstLine="640" w:firstLineChars="20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60D9A4F2">
      <w:pPr>
        <w:spacing w:line="560" w:lineRule="exact"/>
        <w:ind w:firstLine="640" w:firstLineChars="20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36F4E197">
      <w:pPr>
        <w:spacing w:line="600" w:lineRule="exact"/>
        <w:ind w:firstLine="640" w:firstLineChars="200"/>
        <w:outlineLvl w:val="0"/>
        <w:rPr>
          <w:rFonts w:eastAsia="仿宋_GB2312"/>
          <w:sz w:val="32"/>
          <w:szCs w:val="32"/>
        </w:rPr>
      </w:pPr>
      <w:r>
        <w:rPr>
          <w:rFonts w:hint="eastAsia" w:eastAsia="仿宋_GB2312"/>
          <w:sz w:val="32"/>
          <w:szCs w:val="32"/>
        </w:rPr>
        <w:t>此项权重分值为</w:t>
      </w:r>
      <w:r>
        <w:rPr>
          <w:rFonts w:eastAsia="仿宋_GB2312"/>
          <w:sz w:val="32"/>
          <w:szCs w:val="32"/>
        </w:rPr>
        <w:t>4</w:t>
      </w:r>
      <w:r>
        <w:rPr>
          <w:rFonts w:hint="eastAsia" w:eastAsia="仿宋_GB2312"/>
          <w:sz w:val="32"/>
          <w:szCs w:val="32"/>
        </w:rPr>
        <w:t>分，得分为</w:t>
      </w:r>
      <w:r>
        <w:rPr>
          <w:rFonts w:eastAsia="仿宋_GB2312"/>
          <w:sz w:val="32"/>
          <w:szCs w:val="32"/>
        </w:rPr>
        <w:t>4</w:t>
      </w:r>
      <w:r>
        <w:rPr>
          <w:rFonts w:hint="eastAsia" w:eastAsia="仿宋_GB2312"/>
          <w:sz w:val="32"/>
          <w:szCs w:val="32"/>
        </w:rPr>
        <w:t>分。</w:t>
      </w:r>
    </w:p>
    <w:p w14:paraId="61A685E1">
      <w:pPr>
        <w:pStyle w:val="21"/>
        <w:spacing w:line="560" w:lineRule="exact"/>
        <w:ind w:firstLine="640"/>
        <w:rPr>
          <w:rFonts w:eastAsia="仿宋_GB2312"/>
          <w:b/>
          <w:bCs/>
          <w:sz w:val="32"/>
          <w:szCs w:val="32"/>
        </w:rPr>
      </w:pPr>
      <w:r>
        <w:rPr>
          <w:rFonts w:eastAsia="仿宋_GB2312"/>
          <w:b/>
          <w:bCs/>
          <w:sz w:val="32"/>
          <w:szCs w:val="32"/>
        </w:rPr>
        <w:t>2.组织实施</w:t>
      </w:r>
    </w:p>
    <w:p w14:paraId="78AC0CA9">
      <w:pPr>
        <w:spacing w:line="600" w:lineRule="exact"/>
        <w:ind w:firstLine="640" w:firstLineChars="200"/>
        <w:outlineLvl w:val="0"/>
        <w:rPr>
          <w:rFonts w:eastAsia="仿宋_GB2312"/>
          <w:sz w:val="32"/>
          <w:szCs w:val="32"/>
        </w:rPr>
      </w:pPr>
      <w:r>
        <w:rPr>
          <w:rFonts w:eastAsia="仿宋_GB2312"/>
          <w:sz w:val="32"/>
          <w:szCs w:val="32"/>
        </w:rPr>
        <w:t>（1）管理制度健全性</w:t>
      </w:r>
    </w:p>
    <w:p w14:paraId="43562A0E">
      <w:pPr>
        <w:spacing w:line="560" w:lineRule="exact"/>
        <w:ind w:firstLine="640" w:firstLineChars="200"/>
        <w:rPr>
          <w:rFonts w:eastAsia="仿宋_GB2312"/>
          <w:sz w:val="32"/>
          <w:szCs w:val="32"/>
        </w:rPr>
      </w:pPr>
      <w:r>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130C608E">
      <w:pPr>
        <w:spacing w:line="560" w:lineRule="exact"/>
        <w:ind w:firstLine="640" w:firstLineChars="200"/>
        <w:rPr>
          <w:rFonts w:eastAsia="仿宋_GB2312"/>
          <w:sz w:val="32"/>
          <w:szCs w:val="32"/>
        </w:rPr>
      </w:pPr>
      <w:r>
        <w:rPr>
          <w:rFonts w:eastAsia="仿宋_GB2312"/>
          <w:sz w:val="32"/>
          <w:szCs w:val="32"/>
        </w:rPr>
        <w:t>在制度设计上，我们注重了制度的科学性与可操作性，确保制度能够切实指导项目的执行与管理。</w:t>
      </w:r>
    </w:p>
    <w:p w14:paraId="0A7B4121">
      <w:pPr>
        <w:spacing w:line="560" w:lineRule="exact"/>
        <w:ind w:firstLine="640" w:firstLineChars="200"/>
        <w:rPr>
          <w:rFonts w:eastAsia="仿宋_GB2312"/>
          <w:sz w:val="32"/>
          <w:szCs w:val="32"/>
        </w:rPr>
      </w:pPr>
      <w:r>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0C690D13">
      <w:pPr>
        <w:spacing w:line="600" w:lineRule="exact"/>
        <w:ind w:firstLine="640" w:firstLineChars="20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63A8E976">
      <w:pPr>
        <w:spacing w:line="600" w:lineRule="exact"/>
        <w:ind w:firstLine="640" w:firstLineChars="200"/>
        <w:outlineLvl w:val="0"/>
        <w:rPr>
          <w:rFonts w:eastAsia="仿宋_GB2312"/>
          <w:sz w:val="32"/>
          <w:szCs w:val="32"/>
          <w:highlight w:val="green"/>
        </w:rPr>
      </w:pPr>
      <w:r>
        <w:rPr>
          <w:rFonts w:hint="eastAsia" w:eastAsia="仿宋_GB2312"/>
          <w:sz w:val="32"/>
          <w:szCs w:val="32"/>
        </w:rPr>
        <w:t>此项权重分值为4分，得分为4分。</w:t>
      </w:r>
    </w:p>
    <w:p w14:paraId="3D79E836">
      <w:pPr>
        <w:spacing w:line="600" w:lineRule="exact"/>
        <w:ind w:firstLine="640" w:firstLineChars="200"/>
        <w:outlineLvl w:val="0"/>
        <w:rPr>
          <w:rFonts w:eastAsia="仿宋_GB2312"/>
          <w:sz w:val="32"/>
          <w:szCs w:val="32"/>
        </w:rPr>
      </w:pPr>
      <w:r>
        <w:rPr>
          <w:rFonts w:eastAsia="仿宋_GB2312"/>
          <w:sz w:val="32"/>
          <w:szCs w:val="32"/>
        </w:rPr>
        <w:t>（2）制度执行有效性</w:t>
      </w:r>
    </w:p>
    <w:p w14:paraId="62B21AE0">
      <w:pPr>
        <w:spacing w:line="560" w:lineRule="exact"/>
        <w:ind w:firstLine="640" w:firstLineChars="20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03C3CFE1">
      <w:pPr>
        <w:spacing w:line="560" w:lineRule="exact"/>
        <w:ind w:firstLine="640" w:firstLineChars="20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16FF2178">
      <w:pPr>
        <w:spacing w:line="560" w:lineRule="exact"/>
        <w:ind w:firstLine="640" w:firstLineChars="20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09C1C5E7">
      <w:pPr>
        <w:spacing w:line="560" w:lineRule="exact"/>
        <w:ind w:firstLine="640" w:firstLineChars="200"/>
        <w:rPr>
          <w:rFonts w:eastAsia="仿宋_GB2312"/>
          <w:sz w:val="32"/>
          <w:szCs w:val="32"/>
        </w:rPr>
      </w:pPr>
      <w:r>
        <w:rPr>
          <w:rFonts w:hint="eastAsia" w:eastAsia="仿宋_GB2312"/>
          <w:sz w:val="32"/>
          <w:szCs w:val="32"/>
        </w:rPr>
        <w:t>此项权重分值为4分，得分为4分。</w:t>
      </w:r>
      <w:bookmarkEnd w:id="30"/>
    </w:p>
    <w:p w14:paraId="71F58931">
      <w:pPr>
        <w:pStyle w:val="11"/>
        <w:numPr>
          <w:ilvl w:val="0"/>
          <w:numId w:val="4"/>
        </w:numPr>
        <w:spacing w:line="560" w:lineRule="exact"/>
        <w:ind w:firstLine="643"/>
        <w:rPr>
          <w:rFonts w:eastAsia="楷体_GB2312"/>
          <w:b/>
          <w:bCs/>
          <w:sz w:val="32"/>
          <w:szCs w:val="32"/>
        </w:rPr>
      </w:pPr>
      <w:r>
        <w:rPr>
          <w:rFonts w:eastAsia="楷体_GB2312"/>
          <w:b/>
          <w:bCs/>
          <w:sz w:val="32"/>
          <w:szCs w:val="32"/>
        </w:rPr>
        <w:t>项目产出情况</w:t>
      </w:r>
    </w:p>
    <w:p w14:paraId="1F10BE00">
      <w:pPr>
        <w:spacing w:line="600" w:lineRule="exact"/>
        <w:ind w:firstLine="640" w:firstLineChars="200"/>
        <w:outlineLvl w:val="0"/>
        <w:rPr>
          <w:rFonts w:eastAsia="仿宋_GB2312"/>
          <w:sz w:val="32"/>
          <w:szCs w:val="32"/>
        </w:rPr>
      </w:pPr>
      <w:bookmarkStart w:id="31" w:name="OLE_LINK33"/>
      <w:bookmarkStart w:id="32" w:name="OLE_LINK34"/>
      <w:r>
        <w:rPr>
          <w:rFonts w:eastAsia="仿宋_GB2312"/>
          <w:sz w:val="32"/>
          <w:szCs w:val="32"/>
        </w:rPr>
        <w:t>项目产出类指标包括产出数量、产出质量、产出时效、产出成本四方面的内容，由</w:t>
      </w:r>
      <w:r>
        <w:rPr>
          <w:rFonts w:hint="eastAsia" w:eastAsia="仿宋_GB2312"/>
          <w:sz w:val="32"/>
          <w:szCs w:val="32"/>
        </w:rPr>
        <w:t>4</w:t>
      </w:r>
      <w:r>
        <w:rPr>
          <w:rFonts w:eastAsia="仿宋_GB2312"/>
          <w:sz w:val="32"/>
          <w:szCs w:val="32"/>
        </w:rPr>
        <w:t>个级指标构成，权重分为40分，实际得分</w:t>
      </w:r>
      <w:r>
        <w:rPr>
          <w:rFonts w:hint="eastAsia" w:eastAsia="仿宋_GB2312"/>
          <w:sz w:val="32"/>
          <w:szCs w:val="32"/>
        </w:rPr>
        <w:t>37.65</w:t>
      </w:r>
      <w:r>
        <w:rPr>
          <w:rFonts w:eastAsia="仿宋_GB2312"/>
          <w:sz w:val="32"/>
          <w:szCs w:val="32"/>
        </w:rPr>
        <w:t>分，得分率</w:t>
      </w:r>
      <w:r>
        <w:rPr>
          <w:rFonts w:hint="eastAsia" w:eastAsia="仿宋_GB2312"/>
          <w:sz w:val="32"/>
          <w:szCs w:val="32"/>
        </w:rPr>
        <w:t>94.12%</w:t>
      </w:r>
      <w:r>
        <w:rPr>
          <w:rFonts w:eastAsia="仿宋_GB2312"/>
          <w:sz w:val="32"/>
          <w:szCs w:val="32"/>
        </w:rPr>
        <w:t>。</w:t>
      </w:r>
      <w:bookmarkStart w:id="33" w:name="OLE_LINK53"/>
      <w:bookmarkStart w:id="34" w:name="OLE_LINK52"/>
      <w:r>
        <w:rPr>
          <w:rFonts w:hint="eastAsia" w:eastAsia="仿宋_GB2312"/>
          <w:sz w:val="32"/>
          <w:szCs w:val="32"/>
        </w:rPr>
        <w:t>具体产出指标完成情况如下：</w:t>
      </w:r>
      <w:bookmarkEnd w:id="33"/>
      <w:bookmarkEnd w:id="34"/>
    </w:p>
    <w:p w14:paraId="3A57964F">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467FBE9C">
      <w:pPr>
        <w:spacing w:line="600" w:lineRule="exact"/>
        <w:ind w:firstLine="640" w:firstLineChars="200"/>
        <w:outlineLvl w:val="0"/>
        <w:rPr>
          <w:rFonts w:eastAsia="仿宋_GB2312"/>
          <w:sz w:val="32"/>
          <w:szCs w:val="32"/>
        </w:rPr>
      </w:pPr>
      <w:bookmarkStart w:id="35" w:name="OLE_LINK55"/>
      <w:r>
        <w:rPr>
          <w:rFonts w:eastAsia="仿宋_GB2312"/>
          <w:sz w:val="32"/>
          <w:szCs w:val="32"/>
        </w:rPr>
        <w:t>指标1：</w:t>
      </w:r>
      <w:bookmarkEnd w:id="35"/>
      <w:r>
        <w:rPr>
          <w:rFonts w:hint="eastAsia" w:eastAsia="仿宋_GB2312"/>
          <w:sz w:val="32"/>
          <w:szCs w:val="32"/>
        </w:rPr>
        <w:t>补助学生数</w:t>
      </w:r>
      <w:r>
        <w:rPr>
          <w:rFonts w:eastAsia="仿宋_GB2312"/>
          <w:sz w:val="32"/>
          <w:szCs w:val="32"/>
        </w:rPr>
        <w:t>，指标值：</w:t>
      </w:r>
      <w:r>
        <w:rPr>
          <w:rFonts w:hint="eastAsia" w:eastAsia="仿宋_GB2312"/>
          <w:sz w:val="32"/>
          <w:szCs w:val="32"/>
        </w:rPr>
        <w:t>&gt;=4人</w:t>
      </w:r>
      <w:r>
        <w:rPr>
          <w:rFonts w:eastAsia="仿宋_GB2312"/>
          <w:sz w:val="32"/>
          <w:szCs w:val="32"/>
        </w:rPr>
        <w:t>，</w:t>
      </w:r>
      <w:bookmarkStart w:id="36" w:name="OLE_LINK57"/>
      <w:bookmarkStart w:id="37" w:name="OLE_LINK58"/>
      <w:bookmarkStart w:id="38" w:name="OLE_LINK59"/>
      <w:bookmarkStart w:id="39" w:name="OLE_LINK60"/>
      <w:r>
        <w:rPr>
          <w:rFonts w:eastAsia="仿宋_GB2312"/>
          <w:sz w:val="32"/>
          <w:szCs w:val="32"/>
        </w:rPr>
        <w:t>实际完成值</w:t>
      </w:r>
      <w:bookmarkEnd w:id="36"/>
      <w:bookmarkEnd w:id="37"/>
      <w:r>
        <w:rPr>
          <w:rFonts w:eastAsia="仿宋_GB2312"/>
          <w:sz w:val="32"/>
          <w:szCs w:val="32"/>
        </w:rPr>
        <w:t>：</w:t>
      </w:r>
      <w:bookmarkEnd w:id="38"/>
      <w:bookmarkEnd w:id="39"/>
      <w:r>
        <w:rPr>
          <w:rFonts w:hint="eastAsia" w:eastAsia="仿宋_GB2312"/>
          <w:sz w:val="32"/>
          <w:szCs w:val="32"/>
        </w:rPr>
        <w:t>4人</w:t>
      </w:r>
      <w:r>
        <w:rPr>
          <w:rFonts w:eastAsia="仿宋_GB2312"/>
          <w:sz w:val="32"/>
          <w:szCs w:val="32"/>
        </w:rPr>
        <w:t>，</w:t>
      </w:r>
      <w:bookmarkStart w:id="40" w:name="OLE_LINK56"/>
      <w:r>
        <w:rPr>
          <w:rFonts w:eastAsia="仿宋_GB2312"/>
          <w:sz w:val="32"/>
          <w:szCs w:val="32"/>
        </w:rPr>
        <w:t>指标完成率</w:t>
      </w:r>
      <w:r>
        <w:rPr>
          <w:rFonts w:hint="eastAsia" w:eastAsia="仿宋_GB2312"/>
          <w:sz w:val="32"/>
          <w:szCs w:val="32"/>
        </w:rPr>
        <w:t>100%</w:t>
      </w:r>
      <w:r>
        <w:rPr>
          <w:rFonts w:eastAsia="仿宋_GB2312"/>
          <w:sz w:val="32"/>
          <w:szCs w:val="32"/>
        </w:rPr>
        <w:t>。</w:t>
      </w:r>
      <w:bookmarkEnd w:id="40"/>
    </w:p>
    <w:p w14:paraId="0B552B2E">
      <w:pPr>
        <w:spacing w:line="600" w:lineRule="exact"/>
        <w:ind w:firstLine="420" w:firstLineChars="200"/>
        <w:outlineLvl w:val="0"/>
        <w:rPr>
          <w:rFonts w:eastAsia="仿宋_GB2312"/>
          <w:sz w:val="32"/>
          <w:szCs w:val="32"/>
        </w:rPr>
      </w:pPr>
      <w:r>
        <w:rPr>
          <w:rFonts w:hint="eastAsia"/>
        </w:rPr>
        <w:t xml:space="preserve">  </w:t>
      </w:r>
      <w:r>
        <w:rPr>
          <w:rFonts w:hint="eastAsia" w:eastAsia="仿宋_GB2312"/>
          <w:sz w:val="32"/>
          <w:szCs w:val="32"/>
        </w:rPr>
        <w:t>指标2：补助次数，</w:t>
      </w:r>
      <w:bookmarkStart w:id="41" w:name="OLE_LINK62"/>
      <w:r>
        <w:rPr>
          <w:rFonts w:eastAsia="仿宋_GB2312"/>
          <w:sz w:val="32"/>
          <w:szCs w:val="32"/>
        </w:rPr>
        <w:t>指标值：</w:t>
      </w:r>
      <w:bookmarkEnd w:id="41"/>
      <w:r>
        <w:rPr>
          <w:rFonts w:hint="eastAsia" w:eastAsia="仿宋_GB2312"/>
          <w:sz w:val="32"/>
          <w:szCs w:val="32"/>
        </w:rPr>
        <w:t>=1</w:t>
      </w:r>
      <w:r>
        <w:rPr>
          <w:rFonts w:eastAsia="仿宋_GB2312"/>
          <w:sz w:val="32"/>
          <w:szCs w:val="32"/>
        </w:rPr>
        <w:t>次，</w:t>
      </w:r>
      <w:bookmarkStart w:id="42" w:name="OLE_LINK61"/>
      <w:r>
        <w:rPr>
          <w:rFonts w:eastAsia="仿宋_GB2312"/>
          <w:sz w:val="32"/>
          <w:szCs w:val="32"/>
        </w:rPr>
        <w:t>实际完成值：</w:t>
      </w:r>
      <w:bookmarkEnd w:id="42"/>
      <w:r>
        <w:rPr>
          <w:rFonts w:hint="eastAsia" w:eastAsia="仿宋_GB2312"/>
          <w:sz w:val="32"/>
          <w:szCs w:val="32"/>
        </w:rPr>
        <w:t>1</w:t>
      </w:r>
      <w:r>
        <w:rPr>
          <w:rFonts w:eastAsia="仿宋_GB2312"/>
          <w:sz w:val="32"/>
          <w:szCs w:val="32"/>
        </w:rPr>
        <w:t>次，指标完成率</w:t>
      </w:r>
      <w:r>
        <w:rPr>
          <w:rFonts w:hint="eastAsia" w:eastAsia="仿宋_GB2312"/>
          <w:sz w:val="32"/>
          <w:szCs w:val="32"/>
        </w:rPr>
        <w:t>100%</w:t>
      </w:r>
      <w:r>
        <w:rPr>
          <w:rFonts w:eastAsia="仿宋_GB2312"/>
          <w:sz w:val="32"/>
          <w:szCs w:val="32"/>
        </w:rPr>
        <w:t>。</w:t>
      </w:r>
    </w:p>
    <w:p w14:paraId="3E4885E8">
      <w:pPr>
        <w:spacing w:line="600" w:lineRule="exact"/>
        <w:ind w:firstLine="420" w:firstLineChars="200"/>
        <w:outlineLvl w:val="0"/>
        <w:rPr>
          <w:rFonts w:eastAsia="仿宋_GB2312"/>
          <w:sz w:val="32"/>
          <w:szCs w:val="32"/>
        </w:rPr>
      </w:pPr>
      <w:r>
        <w:rPr>
          <w:rFonts w:hint="eastAsia"/>
        </w:rPr>
        <w:t xml:space="preserve"> </w:t>
      </w:r>
      <w:r>
        <w:rPr>
          <w:rFonts w:hint="eastAsia" w:eastAsia="仿宋_GB2312"/>
          <w:sz w:val="32"/>
          <w:szCs w:val="32"/>
        </w:rPr>
        <w:t xml:space="preserve">  指标3：爱耳日与残疾预防日宣传场次，</w:t>
      </w:r>
      <w:r>
        <w:rPr>
          <w:rFonts w:eastAsia="仿宋_GB2312"/>
          <w:sz w:val="32"/>
          <w:szCs w:val="32"/>
        </w:rPr>
        <w:t>指标值：</w:t>
      </w:r>
      <w:r>
        <w:rPr>
          <w:rFonts w:hint="eastAsia" w:eastAsia="仿宋_GB2312"/>
          <w:sz w:val="32"/>
          <w:szCs w:val="32"/>
        </w:rPr>
        <w:t>&gt;=2场次</w:t>
      </w:r>
      <w:r>
        <w:rPr>
          <w:rFonts w:eastAsia="仿宋_GB2312"/>
          <w:sz w:val="32"/>
          <w:szCs w:val="32"/>
        </w:rPr>
        <w:t>，</w:t>
      </w:r>
      <w:r>
        <w:rPr>
          <w:rFonts w:hint="eastAsia" w:eastAsia="仿宋_GB2312"/>
          <w:sz w:val="32"/>
          <w:szCs w:val="32"/>
        </w:rPr>
        <w:t>实际完成值：2场次</w:t>
      </w:r>
      <w:r>
        <w:rPr>
          <w:rFonts w:eastAsia="仿宋_GB2312"/>
          <w:sz w:val="32"/>
          <w:szCs w:val="32"/>
        </w:rPr>
        <w:t>，指标完成率</w:t>
      </w:r>
      <w:r>
        <w:rPr>
          <w:rFonts w:hint="eastAsia" w:eastAsia="仿宋_GB2312"/>
          <w:sz w:val="32"/>
          <w:szCs w:val="32"/>
        </w:rPr>
        <w:t>100%</w:t>
      </w:r>
      <w:r>
        <w:rPr>
          <w:rFonts w:eastAsia="仿宋_GB2312"/>
          <w:sz w:val="32"/>
          <w:szCs w:val="32"/>
        </w:rPr>
        <w:t>。</w:t>
      </w:r>
    </w:p>
    <w:p w14:paraId="2006BA09">
      <w:pPr>
        <w:spacing w:line="600" w:lineRule="exact"/>
        <w:ind w:firstLine="640" w:firstLineChars="200"/>
        <w:outlineLvl w:val="0"/>
        <w:rPr>
          <w:rFonts w:eastAsia="仿宋_GB2312"/>
          <w:sz w:val="32"/>
          <w:szCs w:val="32"/>
        </w:rPr>
      </w:pPr>
      <w:r>
        <w:rPr>
          <w:rFonts w:hint="eastAsia" w:eastAsia="仿宋_GB2312"/>
          <w:sz w:val="32"/>
          <w:szCs w:val="32"/>
        </w:rPr>
        <w:t>指标</w:t>
      </w:r>
      <w:r>
        <w:rPr>
          <w:rFonts w:eastAsia="仿宋_GB2312"/>
          <w:sz w:val="32"/>
          <w:szCs w:val="32"/>
        </w:rPr>
        <w:t>4</w:t>
      </w:r>
      <w:r>
        <w:rPr>
          <w:rFonts w:hint="eastAsia" w:eastAsia="仿宋_GB2312"/>
          <w:sz w:val="32"/>
          <w:szCs w:val="32"/>
        </w:rPr>
        <w:t>：动态更新专项调查人数</w:t>
      </w:r>
      <w:r>
        <w:rPr>
          <w:rFonts w:hint="eastAsia" w:eastAsia="方正仿宋_GBK"/>
          <w:sz w:val="32"/>
          <w:szCs w:val="32"/>
        </w:rPr>
        <w:t>，</w:t>
      </w:r>
      <w:r>
        <w:rPr>
          <w:rFonts w:hint="eastAsia" w:eastAsia="仿宋_GB2312"/>
          <w:sz w:val="32"/>
          <w:szCs w:val="32"/>
        </w:rPr>
        <w:t>指标值：</w:t>
      </w:r>
      <w:r>
        <w:rPr>
          <w:rFonts w:hint="eastAsia" w:eastAsia="方正仿宋_GBK"/>
          <w:sz w:val="32"/>
          <w:szCs w:val="32"/>
        </w:rPr>
        <w:t>&gt;=1550人</w:t>
      </w:r>
      <w:r>
        <w:rPr>
          <w:rFonts w:hint="eastAsia" w:eastAsia="仿宋_GB2312"/>
          <w:sz w:val="32"/>
          <w:szCs w:val="32"/>
        </w:rPr>
        <w:t>，实际完成值：1533人，指标完成率98.9</w:t>
      </w:r>
      <w:r>
        <w:rPr>
          <w:rFonts w:eastAsia="仿宋_GB2312"/>
          <w:sz w:val="32"/>
          <w:szCs w:val="32"/>
        </w:rPr>
        <w:t>%</w:t>
      </w:r>
      <w:r>
        <w:rPr>
          <w:rFonts w:hint="eastAsia" w:eastAsia="仿宋_GB2312"/>
          <w:sz w:val="32"/>
          <w:szCs w:val="32"/>
        </w:rPr>
        <w:t>。偏差原因：动态更新调查不精准；改进措施：对符合要求的残疾人</w:t>
      </w:r>
      <w:r>
        <w:rPr>
          <w:rFonts w:hint="eastAsia" w:eastAsia="仿宋_GB2312"/>
          <w:sz w:val="32"/>
          <w:szCs w:val="32"/>
          <w:lang w:eastAsia="zh-CN"/>
        </w:rPr>
        <w:t>建立台账</w:t>
      </w:r>
      <w:r>
        <w:rPr>
          <w:rFonts w:hint="eastAsia" w:eastAsia="仿宋_GB2312"/>
          <w:sz w:val="32"/>
          <w:szCs w:val="32"/>
        </w:rPr>
        <w:t>。</w:t>
      </w:r>
      <w:r>
        <w:rPr>
          <w:rFonts w:hint="eastAsia"/>
        </w:rPr>
        <w:t xml:space="preserve"> </w:t>
      </w:r>
      <w:r>
        <w:rPr>
          <w:rFonts w:hint="eastAsia" w:eastAsia="仿宋_GB2312"/>
          <w:sz w:val="32"/>
          <w:szCs w:val="32"/>
        </w:rPr>
        <w:t xml:space="preserve"> </w:t>
      </w:r>
    </w:p>
    <w:p w14:paraId="6918D1EA">
      <w:pPr>
        <w:spacing w:line="600" w:lineRule="exact"/>
        <w:ind w:firstLine="960" w:firstLineChars="300"/>
        <w:outlineLvl w:val="0"/>
        <w:rPr>
          <w:rFonts w:eastAsia="仿宋_GB2312"/>
          <w:sz w:val="32"/>
          <w:szCs w:val="32"/>
        </w:rPr>
      </w:pPr>
      <w:r>
        <w:rPr>
          <w:rFonts w:hint="eastAsia" w:eastAsia="仿宋_GB2312"/>
          <w:sz w:val="32"/>
          <w:szCs w:val="32"/>
        </w:rPr>
        <w:t>指标5：采购制卡机设备数</w:t>
      </w:r>
      <w:r>
        <w:rPr>
          <w:rFonts w:hint="eastAsia" w:eastAsia="方正仿宋_GBK"/>
          <w:sz w:val="32"/>
          <w:szCs w:val="32"/>
        </w:rPr>
        <w:t>，</w:t>
      </w:r>
      <w:r>
        <w:rPr>
          <w:rFonts w:hint="eastAsia" w:eastAsia="仿宋_GB2312"/>
          <w:sz w:val="32"/>
          <w:szCs w:val="32"/>
        </w:rPr>
        <w:t>指标值：&gt;=1台，实际完成值：1台，指标完成率</w:t>
      </w:r>
      <w:r>
        <w:rPr>
          <w:rFonts w:eastAsia="仿宋_GB2312"/>
          <w:sz w:val="32"/>
          <w:szCs w:val="32"/>
        </w:rPr>
        <w:t>100%</w:t>
      </w:r>
      <w:r>
        <w:rPr>
          <w:rFonts w:hint="eastAsia" w:eastAsia="仿宋_GB2312"/>
          <w:sz w:val="32"/>
          <w:szCs w:val="32"/>
        </w:rPr>
        <w:t>。</w:t>
      </w:r>
    </w:p>
    <w:p w14:paraId="17D1FD56">
      <w:pPr>
        <w:spacing w:line="600" w:lineRule="exact"/>
        <w:ind w:firstLine="420" w:firstLineChars="200"/>
        <w:outlineLvl w:val="0"/>
        <w:rPr>
          <w:rFonts w:eastAsia="仿宋_GB2312"/>
          <w:sz w:val="32"/>
          <w:szCs w:val="32"/>
        </w:rPr>
      </w:pPr>
      <w:r>
        <w:rPr>
          <w:rFonts w:hint="eastAsia"/>
        </w:rPr>
        <w:t xml:space="preserve"> </w:t>
      </w:r>
      <w:r>
        <w:rPr>
          <w:rFonts w:hint="eastAsia" w:eastAsia="仿宋_GB2312"/>
          <w:sz w:val="32"/>
          <w:szCs w:val="32"/>
        </w:rPr>
        <w:t xml:space="preserve"> 指标6：残疾人基本康复服务人数</w:t>
      </w:r>
      <w:r>
        <w:rPr>
          <w:rFonts w:hint="eastAsia" w:eastAsia="方正仿宋_GBK"/>
          <w:sz w:val="32"/>
          <w:szCs w:val="32"/>
        </w:rPr>
        <w:t>，</w:t>
      </w:r>
      <w:r>
        <w:rPr>
          <w:rFonts w:hint="eastAsia" w:eastAsia="仿宋_GB2312"/>
          <w:sz w:val="32"/>
          <w:szCs w:val="32"/>
        </w:rPr>
        <w:t>指标值：&gt;=51人，实际完成值：51人，指标完成率</w:t>
      </w:r>
      <w:r>
        <w:rPr>
          <w:rFonts w:eastAsia="仿宋_GB2312"/>
          <w:sz w:val="32"/>
          <w:szCs w:val="32"/>
        </w:rPr>
        <w:t>100%</w:t>
      </w:r>
      <w:r>
        <w:rPr>
          <w:rFonts w:hint="eastAsia" w:eastAsia="仿宋_GB2312"/>
          <w:sz w:val="32"/>
          <w:szCs w:val="32"/>
        </w:rPr>
        <w:t>。</w:t>
      </w:r>
    </w:p>
    <w:p w14:paraId="3F848380">
      <w:pPr>
        <w:spacing w:line="600" w:lineRule="exact"/>
        <w:ind w:firstLine="420" w:firstLineChars="200"/>
        <w:outlineLvl w:val="0"/>
        <w:rPr>
          <w:rFonts w:eastAsia="仿宋_GB2312"/>
          <w:sz w:val="32"/>
          <w:szCs w:val="32"/>
        </w:rPr>
      </w:pPr>
      <w:r>
        <w:rPr>
          <w:rFonts w:hint="eastAsia"/>
        </w:rPr>
        <w:t xml:space="preserve"> </w:t>
      </w:r>
      <w:r>
        <w:rPr>
          <w:rFonts w:hint="eastAsia" w:eastAsia="仿宋_GB2312"/>
          <w:sz w:val="32"/>
          <w:szCs w:val="32"/>
        </w:rPr>
        <w:t xml:space="preserve"> 指标7：残疾儿童康复救助人数</w:t>
      </w:r>
      <w:r>
        <w:rPr>
          <w:rFonts w:hint="eastAsia" w:eastAsia="方正仿宋_GBK"/>
          <w:sz w:val="32"/>
          <w:szCs w:val="32"/>
        </w:rPr>
        <w:t>，</w:t>
      </w:r>
      <w:r>
        <w:rPr>
          <w:rFonts w:hint="eastAsia" w:eastAsia="仿宋_GB2312"/>
          <w:sz w:val="32"/>
          <w:szCs w:val="32"/>
        </w:rPr>
        <w:t>指标值：&gt;=4人，实际完成值：4人，指标完成率</w:t>
      </w:r>
      <w:r>
        <w:rPr>
          <w:rFonts w:eastAsia="仿宋_GB2312"/>
          <w:sz w:val="32"/>
          <w:szCs w:val="32"/>
        </w:rPr>
        <w:t>100%</w:t>
      </w:r>
      <w:r>
        <w:rPr>
          <w:rFonts w:hint="eastAsia" w:eastAsia="仿宋_GB2312"/>
          <w:sz w:val="32"/>
          <w:szCs w:val="32"/>
        </w:rPr>
        <w:t>。</w:t>
      </w:r>
    </w:p>
    <w:p w14:paraId="0E394787">
      <w:pPr>
        <w:spacing w:line="600" w:lineRule="exact"/>
        <w:ind w:firstLine="640" w:firstLineChars="200"/>
        <w:outlineLvl w:val="0"/>
        <w:rPr>
          <w:rFonts w:eastAsia="仿宋_GB2312"/>
          <w:sz w:val="32"/>
          <w:szCs w:val="32"/>
        </w:rPr>
      </w:pPr>
      <w:r>
        <w:rPr>
          <w:rFonts w:hint="eastAsia" w:eastAsia="仿宋_GB2312"/>
          <w:sz w:val="32"/>
          <w:szCs w:val="32"/>
        </w:rPr>
        <w:t>指标8：困难重度残疾人家庭无障碍改造户数</w:t>
      </w:r>
      <w:r>
        <w:rPr>
          <w:rFonts w:hint="eastAsia" w:eastAsia="方正仿宋_GBK"/>
          <w:sz w:val="32"/>
          <w:szCs w:val="32"/>
        </w:rPr>
        <w:t>，</w:t>
      </w:r>
      <w:r>
        <w:rPr>
          <w:rFonts w:hint="eastAsia" w:eastAsia="仿宋_GB2312"/>
          <w:sz w:val="32"/>
          <w:szCs w:val="32"/>
        </w:rPr>
        <w:t>指标值：&gt;=10户，实际完成值：10户，指标完成率</w:t>
      </w:r>
      <w:r>
        <w:rPr>
          <w:rFonts w:eastAsia="仿宋_GB2312"/>
          <w:sz w:val="32"/>
          <w:szCs w:val="32"/>
        </w:rPr>
        <w:t>100%</w:t>
      </w:r>
      <w:r>
        <w:rPr>
          <w:rFonts w:hint="eastAsia" w:eastAsia="仿宋_GB2312"/>
          <w:sz w:val="32"/>
          <w:szCs w:val="32"/>
        </w:rPr>
        <w:t>。</w:t>
      </w:r>
    </w:p>
    <w:p w14:paraId="21E5451B">
      <w:pPr>
        <w:spacing w:line="600" w:lineRule="exact"/>
        <w:ind w:firstLine="640" w:firstLineChars="200"/>
        <w:outlineLvl w:val="0"/>
      </w:pPr>
      <w:r>
        <w:rPr>
          <w:rFonts w:hint="eastAsia" w:eastAsia="仿宋_GB2312"/>
          <w:sz w:val="32"/>
          <w:szCs w:val="32"/>
        </w:rPr>
        <w:t>此项权重分值为10分，得分为9.98分。</w:t>
      </w:r>
    </w:p>
    <w:p w14:paraId="59EBB468">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14:paraId="6FC8A75E">
      <w:pPr>
        <w:spacing w:line="600" w:lineRule="exact"/>
        <w:ind w:firstLine="640" w:firstLineChars="200"/>
        <w:outlineLvl w:val="0"/>
        <w:rPr>
          <w:rFonts w:eastAsia="仿宋_GB2312"/>
          <w:sz w:val="32"/>
          <w:szCs w:val="32"/>
        </w:rPr>
      </w:pPr>
      <w:bookmarkStart w:id="43" w:name="OLE_LINK87"/>
      <w:bookmarkStart w:id="44" w:name="OLE_LINK86"/>
      <w:r>
        <w:rPr>
          <w:rFonts w:hint="eastAsia" w:eastAsia="仿宋_GB2312"/>
          <w:sz w:val="32"/>
          <w:szCs w:val="32"/>
        </w:rPr>
        <w:t>指标</w:t>
      </w:r>
      <w:r>
        <w:rPr>
          <w:rFonts w:eastAsia="仿宋_GB2312"/>
          <w:sz w:val="32"/>
          <w:szCs w:val="32"/>
        </w:rPr>
        <w:t>1</w:t>
      </w:r>
      <w:r>
        <w:rPr>
          <w:rFonts w:hint="eastAsia" w:eastAsia="仿宋_GB2312"/>
          <w:sz w:val="32"/>
          <w:szCs w:val="32"/>
        </w:rPr>
        <w:t>：残疾人事业发展补助资金保障率</w:t>
      </w:r>
      <w:r>
        <w:rPr>
          <w:rFonts w:hint="eastAsia" w:eastAsia="方正仿宋_GBK"/>
          <w:sz w:val="32"/>
          <w:szCs w:val="32"/>
        </w:rPr>
        <w:t>，</w:t>
      </w:r>
      <w:bookmarkStart w:id="45" w:name="OLE_LINK91"/>
      <w:bookmarkStart w:id="46" w:name="OLE_LINK92"/>
      <w:r>
        <w:rPr>
          <w:rFonts w:hint="eastAsia" w:eastAsia="仿宋_GB2312"/>
          <w:sz w:val="32"/>
          <w:szCs w:val="32"/>
        </w:rPr>
        <w:t>指标值：</w:t>
      </w:r>
      <w:r>
        <w:rPr>
          <w:rFonts w:eastAsia="方正仿宋_GBK"/>
          <w:sz w:val="32"/>
          <w:szCs w:val="32"/>
        </w:rPr>
        <w:t>=</w:t>
      </w:r>
      <w:r>
        <w:rPr>
          <w:rFonts w:eastAsia="仿宋_GB2312"/>
          <w:sz w:val="32"/>
          <w:szCs w:val="32"/>
        </w:rPr>
        <w:t>100%</w:t>
      </w:r>
      <w:r>
        <w:rPr>
          <w:rFonts w:hint="eastAsia" w:eastAsia="仿宋_GB2312"/>
          <w:sz w:val="32"/>
          <w:szCs w:val="32"/>
        </w:rPr>
        <w:t>，实际完成值：</w:t>
      </w:r>
      <w:r>
        <w:rPr>
          <w:rFonts w:eastAsia="仿宋_GB2312"/>
          <w:sz w:val="32"/>
          <w:szCs w:val="32"/>
        </w:rPr>
        <w:t xml:space="preserve">100% </w:t>
      </w:r>
      <w:r>
        <w:rPr>
          <w:rFonts w:hint="eastAsia" w:eastAsia="仿宋_GB2312"/>
          <w:sz w:val="32"/>
          <w:szCs w:val="32"/>
        </w:rPr>
        <w:t>，指标完成率</w:t>
      </w:r>
      <w:r>
        <w:rPr>
          <w:rFonts w:eastAsia="仿宋_GB2312"/>
          <w:sz w:val="32"/>
          <w:szCs w:val="32"/>
        </w:rPr>
        <w:t>100%</w:t>
      </w:r>
      <w:r>
        <w:rPr>
          <w:rFonts w:hint="eastAsia" w:eastAsia="仿宋_GB2312"/>
          <w:sz w:val="32"/>
          <w:szCs w:val="32"/>
        </w:rPr>
        <w:t>。</w:t>
      </w:r>
      <w:bookmarkEnd w:id="45"/>
      <w:bookmarkEnd w:id="46"/>
    </w:p>
    <w:p w14:paraId="782D0293">
      <w:pPr>
        <w:spacing w:line="600" w:lineRule="exact"/>
        <w:ind w:firstLine="640" w:firstLineChars="200"/>
        <w:outlineLvl w:val="0"/>
        <w:rPr>
          <w:rFonts w:eastAsia="仿宋_GB2312"/>
          <w:sz w:val="32"/>
          <w:szCs w:val="32"/>
        </w:rPr>
      </w:pPr>
      <w:r>
        <w:rPr>
          <w:rFonts w:hint="eastAsia" w:eastAsia="仿宋_GB2312"/>
          <w:sz w:val="32"/>
          <w:szCs w:val="32"/>
        </w:rPr>
        <w:t>指标</w:t>
      </w:r>
      <w:r>
        <w:rPr>
          <w:rFonts w:eastAsia="仿宋_GB2312"/>
          <w:sz w:val="32"/>
          <w:szCs w:val="32"/>
        </w:rPr>
        <w:t>2</w:t>
      </w:r>
      <w:r>
        <w:rPr>
          <w:rFonts w:hint="eastAsia" w:eastAsia="仿宋_GB2312"/>
          <w:sz w:val="32"/>
          <w:szCs w:val="32"/>
        </w:rPr>
        <w:t>：设备验收合格率</w:t>
      </w:r>
      <w:r>
        <w:rPr>
          <w:rFonts w:hint="eastAsia" w:eastAsia="方正仿宋_GBK"/>
          <w:sz w:val="32"/>
          <w:szCs w:val="32"/>
        </w:rPr>
        <w:t>，</w:t>
      </w:r>
      <w:r>
        <w:rPr>
          <w:rFonts w:hint="eastAsia" w:eastAsia="仿宋_GB2312"/>
          <w:sz w:val="32"/>
          <w:szCs w:val="32"/>
        </w:rPr>
        <w:t>指标值：</w:t>
      </w:r>
      <w:r>
        <w:rPr>
          <w:rFonts w:eastAsia="方正仿宋_GBK"/>
          <w:sz w:val="32"/>
          <w:szCs w:val="32"/>
        </w:rPr>
        <w:t>=</w:t>
      </w:r>
      <w:r>
        <w:rPr>
          <w:rFonts w:eastAsia="仿宋_GB2312"/>
          <w:sz w:val="32"/>
          <w:szCs w:val="32"/>
        </w:rPr>
        <w:t>100%</w:t>
      </w:r>
      <w:r>
        <w:rPr>
          <w:rFonts w:hint="eastAsia" w:eastAsia="仿宋_GB2312"/>
          <w:sz w:val="32"/>
          <w:szCs w:val="32"/>
        </w:rPr>
        <w:t>，实际完成值：</w:t>
      </w:r>
      <w:r>
        <w:rPr>
          <w:rFonts w:eastAsia="仿宋_GB2312"/>
          <w:sz w:val="32"/>
          <w:szCs w:val="32"/>
        </w:rPr>
        <w:t xml:space="preserve">100% </w:t>
      </w:r>
      <w:r>
        <w:rPr>
          <w:rFonts w:hint="eastAsia" w:eastAsia="仿宋_GB2312"/>
          <w:sz w:val="32"/>
          <w:szCs w:val="32"/>
        </w:rPr>
        <w:t>，指标完成率</w:t>
      </w:r>
      <w:r>
        <w:rPr>
          <w:rFonts w:eastAsia="仿宋_GB2312"/>
          <w:sz w:val="32"/>
          <w:szCs w:val="32"/>
        </w:rPr>
        <w:t>100%</w:t>
      </w:r>
      <w:r>
        <w:rPr>
          <w:rFonts w:hint="eastAsia" w:eastAsia="仿宋_GB2312"/>
          <w:sz w:val="32"/>
          <w:szCs w:val="32"/>
        </w:rPr>
        <w:t>。</w:t>
      </w:r>
    </w:p>
    <w:p w14:paraId="66851B50">
      <w:pPr>
        <w:spacing w:line="600" w:lineRule="exact"/>
        <w:ind w:firstLine="640" w:firstLineChars="200"/>
        <w:outlineLvl w:val="0"/>
        <w:rPr>
          <w:rFonts w:eastAsia="仿宋_GB2312"/>
          <w:sz w:val="32"/>
          <w:szCs w:val="32"/>
        </w:rPr>
      </w:pPr>
      <w:r>
        <w:rPr>
          <w:rFonts w:hint="eastAsia" w:eastAsia="仿宋_GB2312"/>
          <w:sz w:val="32"/>
          <w:szCs w:val="32"/>
        </w:rPr>
        <w:t>指标</w:t>
      </w:r>
      <w:r>
        <w:rPr>
          <w:rFonts w:eastAsia="仿宋_GB2312"/>
          <w:sz w:val="32"/>
          <w:szCs w:val="32"/>
        </w:rPr>
        <w:t>3</w:t>
      </w:r>
      <w:r>
        <w:rPr>
          <w:rFonts w:hint="eastAsia" w:eastAsia="仿宋_GB2312"/>
          <w:sz w:val="32"/>
          <w:szCs w:val="32"/>
        </w:rPr>
        <w:t>：设备质量合格率</w:t>
      </w:r>
      <w:bookmarkStart w:id="47" w:name="OLE_LINK94"/>
      <w:bookmarkStart w:id="48" w:name="OLE_LINK93"/>
      <w:r>
        <w:rPr>
          <w:rFonts w:hint="eastAsia" w:eastAsia="方正仿宋_GBK"/>
          <w:sz w:val="32"/>
          <w:szCs w:val="32"/>
        </w:rPr>
        <w:t>，</w:t>
      </w:r>
      <w:bookmarkEnd w:id="43"/>
      <w:bookmarkEnd w:id="44"/>
      <w:bookmarkEnd w:id="47"/>
      <w:bookmarkEnd w:id="48"/>
      <w:r>
        <w:rPr>
          <w:rFonts w:hint="eastAsia" w:eastAsia="仿宋_GB2312"/>
          <w:sz w:val="32"/>
          <w:szCs w:val="32"/>
        </w:rPr>
        <w:t>指标值：</w:t>
      </w:r>
      <w:r>
        <w:rPr>
          <w:rFonts w:eastAsia="方正仿宋_GBK"/>
          <w:sz w:val="32"/>
          <w:szCs w:val="32"/>
        </w:rPr>
        <w:t>=</w:t>
      </w:r>
      <w:r>
        <w:rPr>
          <w:rFonts w:eastAsia="仿宋_GB2312"/>
          <w:sz w:val="32"/>
          <w:szCs w:val="32"/>
        </w:rPr>
        <w:t>100%</w:t>
      </w:r>
      <w:r>
        <w:rPr>
          <w:rFonts w:hint="eastAsia" w:eastAsia="仿宋_GB2312"/>
          <w:sz w:val="32"/>
          <w:szCs w:val="32"/>
        </w:rPr>
        <w:t>，实际完成值：</w:t>
      </w:r>
      <w:r>
        <w:rPr>
          <w:rFonts w:eastAsia="仿宋_GB2312"/>
          <w:sz w:val="32"/>
          <w:szCs w:val="32"/>
        </w:rPr>
        <w:t xml:space="preserve">100% </w:t>
      </w:r>
      <w:r>
        <w:rPr>
          <w:rFonts w:hint="eastAsia" w:eastAsia="仿宋_GB2312"/>
          <w:sz w:val="32"/>
          <w:szCs w:val="32"/>
        </w:rPr>
        <w:t>，指标完成率</w:t>
      </w:r>
      <w:r>
        <w:rPr>
          <w:rFonts w:eastAsia="仿宋_GB2312"/>
          <w:sz w:val="32"/>
          <w:szCs w:val="32"/>
        </w:rPr>
        <w:t>100%</w:t>
      </w:r>
      <w:r>
        <w:rPr>
          <w:rFonts w:hint="eastAsia" w:eastAsia="仿宋_GB2312"/>
          <w:sz w:val="32"/>
          <w:szCs w:val="32"/>
        </w:rPr>
        <w:t>。</w:t>
      </w:r>
    </w:p>
    <w:p w14:paraId="7D401D3A">
      <w:pPr>
        <w:spacing w:line="600" w:lineRule="exact"/>
        <w:ind w:firstLine="640" w:firstLineChars="200"/>
        <w:outlineLvl w:val="0"/>
        <w:rPr>
          <w:rFonts w:eastAsia="仿宋_GB2312"/>
          <w:sz w:val="32"/>
          <w:szCs w:val="32"/>
        </w:rPr>
      </w:pPr>
      <w:r>
        <w:rPr>
          <w:rFonts w:hint="eastAsia" w:eastAsia="仿宋_GB2312"/>
          <w:sz w:val="32"/>
          <w:szCs w:val="32"/>
        </w:rPr>
        <w:t>指标</w:t>
      </w:r>
      <w:r>
        <w:rPr>
          <w:rFonts w:eastAsia="仿宋_GB2312"/>
          <w:sz w:val="32"/>
          <w:szCs w:val="32"/>
        </w:rPr>
        <w:t>4</w:t>
      </w:r>
      <w:r>
        <w:rPr>
          <w:rFonts w:hint="eastAsia" w:eastAsia="仿宋_GB2312"/>
          <w:sz w:val="32"/>
          <w:szCs w:val="32"/>
        </w:rPr>
        <w:t>：政府采购率</w:t>
      </w:r>
      <w:r>
        <w:rPr>
          <w:rFonts w:hint="eastAsia" w:eastAsia="方正仿宋_GBK"/>
          <w:sz w:val="32"/>
          <w:szCs w:val="32"/>
        </w:rPr>
        <w:t>，</w:t>
      </w:r>
      <w:r>
        <w:rPr>
          <w:rFonts w:hint="eastAsia" w:eastAsia="仿宋_GB2312"/>
          <w:sz w:val="32"/>
          <w:szCs w:val="32"/>
        </w:rPr>
        <w:t>指标值：</w:t>
      </w:r>
      <w:r>
        <w:rPr>
          <w:rFonts w:eastAsia="方正仿宋_GBK"/>
          <w:sz w:val="32"/>
          <w:szCs w:val="32"/>
        </w:rPr>
        <w:t>=</w:t>
      </w:r>
      <w:r>
        <w:rPr>
          <w:rFonts w:eastAsia="仿宋_GB2312"/>
          <w:sz w:val="32"/>
          <w:szCs w:val="32"/>
        </w:rPr>
        <w:t>100%</w:t>
      </w:r>
      <w:r>
        <w:rPr>
          <w:rFonts w:hint="eastAsia" w:eastAsia="仿宋_GB2312"/>
          <w:sz w:val="32"/>
          <w:szCs w:val="32"/>
        </w:rPr>
        <w:t>，实际完成值：</w:t>
      </w:r>
      <w:r>
        <w:rPr>
          <w:rFonts w:eastAsia="仿宋_GB2312"/>
          <w:sz w:val="32"/>
          <w:szCs w:val="32"/>
        </w:rPr>
        <w:t xml:space="preserve">100% </w:t>
      </w:r>
      <w:r>
        <w:rPr>
          <w:rFonts w:hint="eastAsia" w:eastAsia="仿宋_GB2312"/>
          <w:sz w:val="32"/>
          <w:szCs w:val="32"/>
        </w:rPr>
        <w:t>，指标完成率</w:t>
      </w:r>
      <w:r>
        <w:rPr>
          <w:rFonts w:eastAsia="仿宋_GB2312"/>
          <w:sz w:val="32"/>
          <w:szCs w:val="32"/>
        </w:rPr>
        <w:t>100%</w:t>
      </w:r>
      <w:r>
        <w:rPr>
          <w:rFonts w:hint="eastAsia" w:eastAsia="仿宋_GB2312"/>
          <w:sz w:val="32"/>
          <w:szCs w:val="32"/>
        </w:rPr>
        <w:t>。</w:t>
      </w:r>
    </w:p>
    <w:p w14:paraId="23B969F5">
      <w:pPr>
        <w:spacing w:line="600" w:lineRule="exact"/>
        <w:ind w:firstLine="420" w:firstLineChars="200"/>
        <w:outlineLvl w:val="0"/>
        <w:rPr>
          <w:rFonts w:eastAsia="仿宋_GB2312"/>
          <w:sz w:val="32"/>
          <w:szCs w:val="32"/>
        </w:rPr>
      </w:pPr>
      <w:r>
        <w:rPr>
          <w:rFonts w:hint="eastAsia"/>
        </w:rPr>
        <w:t xml:space="preserve"> </w:t>
      </w:r>
      <w:r>
        <w:rPr>
          <w:rFonts w:hint="eastAsia" w:eastAsia="仿宋_GB2312"/>
          <w:sz w:val="32"/>
          <w:szCs w:val="32"/>
        </w:rPr>
        <w:t xml:space="preserve"> 指标5：困难重度残疾人家庭无障碍改造合格率</w:t>
      </w:r>
      <w:r>
        <w:rPr>
          <w:rFonts w:hint="eastAsia" w:eastAsia="方正仿宋_GBK"/>
          <w:sz w:val="32"/>
          <w:szCs w:val="32"/>
        </w:rPr>
        <w:t>，</w:t>
      </w:r>
      <w:r>
        <w:rPr>
          <w:rFonts w:hint="eastAsia" w:eastAsia="仿宋_GB2312"/>
          <w:sz w:val="32"/>
          <w:szCs w:val="32"/>
        </w:rPr>
        <w:t>指标值：</w:t>
      </w:r>
      <w:r>
        <w:rPr>
          <w:rFonts w:eastAsia="仿宋_GB2312"/>
          <w:sz w:val="32"/>
          <w:szCs w:val="32"/>
        </w:rPr>
        <w:t>=100%</w:t>
      </w:r>
      <w:r>
        <w:rPr>
          <w:rFonts w:hint="eastAsia" w:eastAsia="仿宋_GB2312"/>
          <w:sz w:val="32"/>
          <w:szCs w:val="32"/>
        </w:rPr>
        <w:t>，实际完成值：</w:t>
      </w:r>
      <w:r>
        <w:rPr>
          <w:rFonts w:eastAsia="仿宋_GB2312"/>
          <w:sz w:val="32"/>
          <w:szCs w:val="32"/>
        </w:rPr>
        <w:t xml:space="preserve">100% </w:t>
      </w:r>
      <w:r>
        <w:rPr>
          <w:rFonts w:hint="eastAsia" w:eastAsia="仿宋_GB2312"/>
          <w:sz w:val="32"/>
          <w:szCs w:val="32"/>
        </w:rPr>
        <w:t>，指标完成率</w:t>
      </w:r>
      <w:r>
        <w:rPr>
          <w:rFonts w:eastAsia="仿宋_GB2312"/>
          <w:sz w:val="32"/>
          <w:szCs w:val="32"/>
        </w:rPr>
        <w:t>100%</w:t>
      </w:r>
      <w:r>
        <w:rPr>
          <w:rFonts w:hint="eastAsia" w:eastAsia="仿宋_GB2312"/>
          <w:sz w:val="32"/>
          <w:szCs w:val="32"/>
        </w:rPr>
        <w:t>。</w:t>
      </w:r>
    </w:p>
    <w:p w14:paraId="54896918">
      <w:pPr>
        <w:spacing w:line="600" w:lineRule="exact"/>
        <w:ind w:firstLine="640" w:firstLineChars="200"/>
        <w:outlineLvl w:val="0"/>
        <w:rPr>
          <w:rFonts w:eastAsia="仿宋_GB2312"/>
          <w:sz w:val="32"/>
          <w:szCs w:val="32"/>
        </w:rPr>
      </w:pPr>
      <w:bookmarkStart w:id="49" w:name="OLE_LINK88"/>
      <w:r>
        <w:rPr>
          <w:rFonts w:hint="eastAsia" w:eastAsia="仿宋_GB2312"/>
          <w:sz w:val="32"/>
          <w:szCs w:val="32"/>
        </w:rPr>
        <w:t>此项权重分值为10分，得分为10分。</w:t>
      </w:r>
      <w:bookmarkEnd w:id="49"/>
    </w:p>
    <w:p w14:paraId="48592110">
      <w:pPr>
        <w:spacing w:line="600" w:lineRule="exact"/>
        <w:ind w:left="200"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14:paraId="036E4C95">
      <w:pPr>
        <w:spacing w:line="600" w:lineRule="exact"/>
        <w:ind w:firstLine="640" w:firstLineChars="200"/>
        <w:outlineLvl w:val="0"/>
        <w:rPr>
          <w:rFonts w:eastAsia="仿宋_GB2312"/>
          <w:sz w:val="32"/>
          <w:szCs w:val="32"/>
        </w:rPr>
      </w:pPr>
      <w:r>
        <w:rPr>
          <w:rFonts w:hint="eastAsia" w:eastAsia="仿宋_GB2312"/>
          <w:sz w:val="32"/>
          <w:szCs w:val="32"/>
        </w:rPr>
        <w:t>指标</w:t>
      </w:r>
      <w:r>
        <w:rPr>
          <w:rFonts w:eastAsia="仿宋_GB2312"/>
          <w:sz w:val="32"/>
          <w:szCs w:val="32"/>
        </w:rPr>
        <w:t>1</w:t>
      </w:r>
      <w:r>
        <w:rPr>
          <w:rFonts w:hint="eastAsia" w:eastAsia="仿宋_GB2312"/>
          <w:sz w:val="32"/>
          <w:szCs w:val="32"/>
        </w:rPr>
        <w:t>：残疾人事业发展补助资金支付及时率</w:t>
      </w:r>
      <w:r>
        <w:rPr>
          <w:rFonts w:hint="eastAsia" w:eastAsia="方正仿宋_GBK"/>
          <w:sz w:val="32"/>
          <w:szCs w:val="32"/>
        </w:rPr>
        <w:t>，</w:t>
      </w:r>
      <w:r>
        <w:rPr>
          <w:rFonts w:hint="eastAsia" w:eastAsia="仿宋_GB2312"/>
          <w:sz w:val="32"/>
          <w:szCs w:val="32"/>
        </w:rPr>
        <w:t>指标值：</w:t>
      </w:r>
      <w:r>
        <w:rPr>
          <w:rFonts w:eastAsia="方正仿宋_GBK"/>
          <w:sz w:val="32"/>
          <w:szCs w:val="32"/>
        </w:rPr>
        <w:t>=</w:t>
      </w:r>
      <w:r>
        <w:rPr>
          <w:rFonts w:eastAsia="仿宋_GB2312"/>
          <w:sz w:val="32"/>
          <w:szCs w:val="32"/>
        </w:rPr>
        <w:t>100%</w:t>
      </w:r>
      <w:r>
        <w:rPr>
          <w:rFonts w:hint="eastAsia" w:eastAsia="仿宋_GB2312"/>
          <w:sz w:val="32"/>
          <w:szCs w:val="32"/>
        </w:rPr>
        <w:t>，实际完成值：</w:t>
      </w:r>
      <w:r>
        <w:rPr>
          <w:rFonts w:eastAsia="仿宋_GB2312"/>
          <w:sz w:val="32"/>
          <w:szCs w:val="32"/>
        </w:rPr>
        <w:t xml:space="preserve">100% </w:t>
      </w:r>
      <w:r>
        <w:rPr>
          <w:rFonts w:hint="eastAsia" w:eastAsia="仿宋_GB2312"/>
          <w:sz w:val="32"/>
          <w:szCs w:val="32"/>
        </w:rPr>
        <w:t>，指标完成率</w:t>
      </w:r>
      <w:r>
        <w:rPr>
          <w:rFonts w:eastAsia="仿宋_GB2312"/>
          <w:sz w:val="32"/>
          <w:szCs w:val="32"/>
        </w:rPr>
        <w:t>100%</w:t>
      </w:r>
      <w:r>
        <w:rPr>
          <w:rFonts w:hint="eastAsia" w:eastAsia="仿宋_GB2312"/>
          <w:sz w:val="32"/>
          <w:szCs w:val="32"/>
        </w:rPr>
        <w:t>。</w:t>
      </w:r>
    </w:p>
    <w:p w14:paraId="1080CAAB">
      <w:pPr>
        <w:spacing w:line="600" w:lineRule="exact"/>
        <w:ind w:firstLine="640" w:firstLineChars="200"/>
        <w:outlineLvl w:val="0"/>
        <w:rPr>
          <w:rFonts w:eastAsia="仿宋_GB2312"/>
          <w:sz w:val="32"/>
          <w:szCs w:val="32"/>
        </w:rPr>
      </w:pPr>
      <w:bookmarkStart w:id="50" w:name="OLE_LINK83"/>
      <w:bookmarkStart w:id="51" w:name="OLE_LINK82"/>
      <w:r>
        <w:rPr>
          <w:rFonts w:hint="eastAsia" w:eastAsia="仿宋_GB2312"/>
          <w:sz w:val="32"/>
          <w:szCs w:val="32"/>
        </w:rPr>
        <w:t>指标</w:t>
      </w:r>
      <w:r>
        <w:rPr>
          <w:rFonts w:eastAsia="仿宋_GB2312"/>
          <w:sz w:val="32"/>
          <w:szCs w:val="32"/>
        </w:rPr>
        <w:t>2</w:t>
      </w:r>
      <w:r>
        <w:rPr>
          <w:rFonts w:hint="eastAsia" w:eastAsia="仿宋_GB2312"/>
          <w:sz w:val="32"/>
          <w:szCs w:val="32"/>
        </w:rPr>
        <w:t>：</w:t>
      </w:r>
      <w:bookmarkEnd w:id="50"/>
      <w:bookmarkEnd w:id="51"/>
      <w:r>
        <w:rPr>
          <w:rFonts w:hint="eastAsia" w:eastAsia="仿宋_GB2312"/>
          <w:sz w:val="32"/>
          <w:szCs w:val="32"/>
        </w:rPr>
        <w:t>设备采购按时完成率</w:t>
      </w:r>
      <w:r>
        <w:rPr>
          <w:rFonts w:hint="eastAsia" w:eastAsia="方正仿宋_GBK"/>
          <w:sz w:val="32"/>
          <w:szCs w:val="32"/>
        </w:rPr>
        <w:t>，</w:t>
      </w:r>
      <w:r>
        <w:rPr>
          <w:rFonts w:hint="eastAsia" w:eastAsia="仿宋_GB2312"/>
          <w:sz w:val="32"/>
          <w:szCs w:val="32"/>
        </w:rPr>
        <w:t>指标值：</w:t>
      </w:r>
      <w:r>
        <w:rPr>
          <w:rFonts w:eastAsia="方正仿宋_GBK"/>
          <w:sz w:val="32"/>
          <w:szCs w:val="32"/>
        </w:rPr>
        <w:t>=</w:t>
      </w:r>
      <w:r>
        <w:rPr>
          <w:rFonts w:eastAsia="仿宋_GB2312"/>
          <w:sz w:val="32"/>
          <w:szCs w:val="32"/>
        </w:rPr>
        <w:t>100%</w:t>
      </w:r>
      <w:r>
        <w:rPr>
          <w:rFonts w:hint="eastAsia" w:eastAsia="仿宋_GB2312"/>
          <w:sz w:val="32"/>
          <w:szCs w:val="32"/>
        </w:rPr>
        <w:t>，实际完成值：</w:t>
      </w:r>
      <w:r>
        <w:rPr>
          <w:rFonts w:eastAsia="仿宋_GB2312"/>
          <w:sz w:val="32"/>
          <w:szCs w:val="32"/>
        </w:rPr>
        <w:t xml:space="preserve">100% </w:t>
      </w:r>
      <w:r>
        <w:rPr>
          <w:rFonts w:hint="eastAsia" w:eastAsia="仿宋_GB2312"/>
          <w:sz w:val="32"/>
          <w:szCs w:val="32"/>
        </w:rPr>
        <w:t>，指标完成率</w:t>
      </w:r>
      <w:r>
        <w:rPr>
          <w:rFonts w:eastAsia="仿宋_GB2312"/>
          <w:sz w:val="32"/>
          <w:szCs w:val="32"/>
        </w:rPr>
        <w:t>100%</w:t>
      </w:r>
      <w:r>
        <w:rPr>
          <w:rFonts w:hint="eastAsia" w:eastAsia="仿宋_GB2312"/>
          <w:sz w:val="32"/>
          <w:szCs w:val="32"/>
        </w:rPr>
        <w:t>。</w:t>
      </w:r>
    </w:p>
    <w:p w14:paraId="4FCD8840">
      <w:pPr>
        <w:spacing w:line="600" w:lineRule="exact"/>
        <w:ind w:firstLine="640" w:firstLineChars="200"/>
        <w:outlineLvl w:val="0"/>
        <w:rPr>
          <w:rFonts w:eastAsia="仿宋_GB2312"/>
          <w:sz w:val="32"/>
          <w:szCs w:val="32"/>
        </w:rPr>
      </w:pPr>
      <w:bookmarkStart w:id="52" w:name="OLE_LINK85"/>
      <w:bookmarkStart w:id="53" w:name="OLE_LINK84"/>
      <w:r>
        <w:rPr>
          <w:rFonts w:hint="eastAsia" w:eastAsia="仿宋_GB2312"/>
          <w:sz w:val="32"/>
          <w:szCs w:val="32"/>
        </w:rPr>
        <w:t>指标</w:t>
      </w:r>
      <w:r>
        <w:rPr>
          <w:rFonts w:eastAsia="仿宋_GB2312"/>
          <w:sz w:val="32"/>
          <w:szCs w:val="32"/>
        </w:rPr>
        <w:t>3</w:t>
      </w:r>
      <w:r>
        <w:rPr>
          <w:rFonts w:hint="eastAsia" w:eastAsia="仿宋_GB2312"/>
          <w:sz w:val="32"/>
          <w:szCs w:val="32"/>
        </w:rPr>
        <w:t>：</w:t>
      </w:r>
      <w:bookmarkEnd w:id="52"/>
      <w:bookmarkEnd w:id="53"/>
      <w:r>
        <w:rPr>
          <w:rFonts w:hint="eastAsia" w:eastAsia="仿宋_GB2312"/>
          <w:sz w:val="32"/>
          <w:szCs w:val="32"/>
        </w:rPr>
        <w:t>项目完成时间</w:t>
      </w:r>
      <w:r>
        <w:rPr>
          <w:rFonts w:hint="eastAsia" w:eastAsia="方正仿宋_GBK"/>
          <w:sz w:val="32"/>
          <w:szCs w:val="32"/>
        </w:rPr>
        <w:t>，</w:t>
      </w:r>
      <w:r>
        <w:rPr>
          <w:rFonts w:hint="eastAsia" w:eastAsia="仿宋_GB2312"/>
          <w:sz w:val="32"/>
          <w:szCs w:val="32"/>
        </w:rPr>
        <w:t>指标值：</w:t>
      </w:r>
      <w:r>
        <w:rPr>
          <w:rFonts w:hint="eastAsia" w:eastAsia="方正仿宋_GBK"/>
          <w:sz w:val="32"/>
          <w:szCs w:val="32"/>
        </w:rPr>
        <w:t>2024年12月</w:t>
      </w:r>
      <w:r>
        <w:rPr>
          <w:rFonts w:hint="eastAsia" w:eastAsia="仿宋_GB2312"/>
          <w:sz w:val="32"/>
          <w:szCs w:val="32"/>
        </w:rPr>
        <w:t>，实际完成值：2024年12月，指标完成率</w:t>
      </w:r>
      <w:r>
        <w:rPr>
          <w:rFonts w:eastAsia="仿宋_GB2312"/>
          <w:sz w:val="32"/>
          <w:szCs w:val="32"/>
        </w:rPr>
        <w:t>100%</w:t>
      </w:r>
      <w:r>
        <w:rPr>
          <w:rFonts w:hint="eastAsia" w:eastAsia="仿宋_GB2312"/>
          <w:sz w:val="32"/>
          <w:szCs w:val="32"/>
        </w:rPr>
        <w:t>。</w:t>
      </w:r>
    </w:p>
    <w:p w14:paraId="223513FA">
      <w:pPr>
        <w:spacing w:line="600" w:lineRule="exact"/>
        <w:ind w:firstLine="640" w:firstLineChars="200"/>
        <w:outlineLvl w:val="0"/>
        <w:rPr>
          <w:rFonts w:eastAsia="仿宋_GB2312"/>
          <w:sz w:val="32"/>
          <w:szCs w:val="32"/>
        </w:rPr>
      </w:pPr>
      <w:bookmarkStart w:id="54" w:name="OLE_LINK3"/>
      <w:r>
        <w:rPr>
          <w:rFonts w:hint="eastAsia" w:eastAsia="仿宋_GB2312"/>
          <w:sz w:val="32"/>
          <w:szCs w:val="32"/>
        </w:rPr>
        <w:t>此项权重分值为</w:t>
      </w:r>
      <w:r>
        <w:rPr>
          <w:rFonts w:eastAsia="仿宋_GB2312"/>
          <w:sz w:val="32"/>
          <w:szCs w:val="32"/>
        </w:rPr>
        <w:t>10</w:t>
      </w:r>
      <w:r>
        <w:rPr>
          <w:rFonts w:hint="eastAsia" w:eastAsia="仿宋_GB2312"/>
          <w:sz w:val="32"/>
          <w:szCs w:val="32"/>
        </w:rPr>
        <w:t>分，得分为</w:t>
      </w:r>
      <w:bookmarkEnd w:id="54"/>
      <w:r>
        <w:rPr>
          <w:rFonts w:hint="eastAsia" w:eastAsia="仿宋_GB2312"/>
          <w:sz w:val="32"/>
          <w:szCs w:val="32"/>
        </w:rPr>
        <w:t>10分。</w:t>
      </w:r>
    </w:p>
    <w:p w14:paraId="3D107509">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14:paraId="5A901A72">
      <w:pPr>
        <w:spacing w:line="600" w:lineRule="exact"/>
        <w:ind w:firstLine="640" w:firstLineChars="200"/>
        <w:outlineLvl w:val="0"/>
        <w:rPr>
          <w:rFonts w:eastAsia="仿宋_GB2312"/>
          <w:sz w:val="32"/>
          <w:szCs w:val="32"/>
        </w:rPr>
      </w:pPr>
      <w:r>
        <w:rPr>
          <w:rFonts w:eastAsia="仿宋_GB2312"/>
          <w:sz w:val="32"/>
          <w:szCs w:val="32"/>
        </w:rPr>
        <w:t>.</w:t>
      </w:r>
      <w:r>
        <w:rPr>
          <w:rFonts w:hint="eastAsia" w:eastAsia="仿宋_GB2312"/>
          <w:sz w:val="32"/>
          <w:szCs w:val="32"/>
        </w:rPr>
        <w:t>指标</w:t>
      </w:r>
      <w:r>
        <w:rPr>
          <w:rFonts w:eastAsia="仿宋_GB2312"/>
          <w:sz w:val="32"/>
          <w:szCs w:val="32"/>
        </w:rPr>
        <w:t>1</w:t>
      </w:r>
      <w:r>
        <w:rPr>
          <w:rFonts w:hint="eastAsia" w:eastAsia="仿宋_GB2312"/>
          <w:sz w:val="32"/>
          <w:szCs w:val="32"/>
        </w:rPr>
        <w:t>：发放助学金标准</w:t>
      </w:r>
      <w:r>
        <w:rPr>
          <w:rFonts w:hint="eastAsia" w:eastAsia="方正仿宋_GBK"/>
          <w:sz w:val="32"/>
          <w:szCs w:val="32"/>
        </w:rPr>
        <w:t>，</w:t>
      </w:r>
      <w:r>
        <w:rPr>
          <w:rFonts w:hint="eastAsia" w:eastAsia="仿宋_GB2312"/>
          <w:sz w:val="32"/>
          <w:szCs w:val="32"/>
        </w:rPr>
        <w:t>指标值：</w:t>
      </w:r>
      <w:r>
        <w:rPr>
          <w:rFonts w:hint="eastAsia" w:eastAsia="方正仿宋_GBK"/>
          <w:sz w:val="32"/>
          <w:szCs w:val="32"/>
        </w:rPr>
        <w:t>&lt;=0.20万元/人/年</w:t>
      </w:r>
      <w:r>
        <w:rPr>
          <w:rFonts w:hint="eastAsia" w:eastAsia="仿宋_GB2312"/>
          <w:sz w:val="32"/>
          <w:szCs w:val="32"/>
        </w:rPr>
        <w:t>，实际完成值：</w:t>
      </w:r>
      <w:r>
        <w:rPr>
          <w:rFonts w:hint="eastAsia" w:eastAsia="方正仿宋_GBK"/>
          <w:sz w:val="32"/>
          <w:szCs w:val="32"/>
        </w:rPr>
        <w:t>0.2万元/人/年</w:t>
      </w:r>
      <w:r>
        <w:rPr>
          <w:rFonts w:hint="eastAsia" w:eastAsia="仿宋_GB2312"/>
          <w:sz w:val="32"/>
          <w:szCs w:val="32"/>
        </w:rPr>
        <w:t>，指标完成率</w:t>
      </w:r>
      <w:r>
        <w:rPr>
          <w:rFonts w:eastAsia="仿宋_GB2312"/>
          <w:sz w:val="32"/>
          <w:szCs w:val="32"/>
        </w:rPr>
        <w:t>100%</w:t>
      </w:r>
      <w:r>
        <w:rPr>
          <w:rFonts w:hint="eastAsia" w:eastAsia="仿宋_GB2312"/>
          <w:sz w:val="32"/>
          <w:szCs w:val="32"/>
        </w:rPr>
        <w:t>。</w:t>
      </w:r>
    </w:p>
    <w:p w14:paraId="67118F42">
      <w:pPr>
        <w:spacing w:line="600" w:lineRule="exact"/>
        <w:ind w:firstLine="640" w:firstLineChars="200"/>
        <w:outlineLvl w:val="0"/>
        <w:rPr>
          <w:rFonts w:eastAsia="仿宋_GB2312"/>
          <w:sz w:val="32"/>
          <w:szCs w:val="32"/>
        </w:rPr>
      </w:pPr>
      <w:r>
        <w:rPr>
          <w:rFonts w:hint="eastAsia" w:eastAsia="仿宋_GB2312"/>
          <w:sz w:val="32"/>
          <w:szCs w:val="32"/>
        </w:rPr>
        <w:t>指标</w:t>
      </w:r>
      <w:r>
        <w:rPr>
          <w:rFonts w:eastAsia="仿宋_GB2312"/>
          <w:sz w:val="32"/>
          <w:szCs w:val="32"/>
        </w:rPr>
        <w:t>2</w:t>
      </w:r>
      <w:r>
        <w:rPr>
          <w:rFonts w:hint="eastAsia" w:eastAsia="仿宋_GB2312"/>
          <w:sz w:val="32"/>
          <w:szCs w:val="32"/>
        </w:rPr>
        <w:t>：动态更新专项调查工作经费控制数</w:t>
      </w:r>
      <w:r>
        <w:rPr>
          <w:rFonts w:hint="eastAsia" w:eastAsia="方正仿宋_GBK"/>
          <w:sz w:val="32"/>
          <w:szCs w:val="32"/>
        </w:rPr>
        <w:t>，</w:t>
      </w:r>
      <w:r>
        <w:rPr>
          <w:rFonts w:hint="eastAsia" w:eastAsia="仿宋_GB2312"/>
          <w:sz w:val="32"/>
          <w:szCs w:val="32"/>
        </w:rPr>
        <w:t>指标值：</w:t>
      </w:r>
      <w:r>
        <w:rPr>
          <w:rFonts w:hint="eastAsia" w:eastAsia="方正仿宋_GBK"/>
          <w:sz w:val="32"/>
          <w:szCs w:val="32"/>
        </w:rPr>
        <w:t>&lt;=6252</w:t>
      </w:r>
      <w:r>
        <w:rPr>
          <w:rFonts w:hint="eastAsia" w:eastAsia="仿宋_GB2312"/>
          <w:sz w:val="32"/>
          <w:szCs w:val="32"/>
        </w:rPr>
        <w:t>元，实际完成值：</w:t>
      </w:r>
      <w:r>
        <w:rPr>
          <w:rFonts w:hint="eastAsia" w:eastAsia="方正仿宋_GBK"/>
          <w:sz w:val="32"/>
          <w:szCs w:val="32"/>
        </w:rPr>
        <w:t>2452元</w:t>
      </w:r>
      <w:r>
        <w:rPr>
          <w:rFonts w:hint="eastAsia" w:eastAsia="仿宋_GB2312"/>
          <w:sz w:val="32"/>
          <w:szCs w:val="32"/>
        </w:rPr>
        <w:t>，指标完成率</w:t>
      </w:r>
      <w:r>
        <w:rPr>
          <w:rFonts w:eastAsia="仿宋_GB2312"/>
          <w:sz w:val="32"/>
          <w:szCs w:val="32"/>
        </w:rPr>
        <w:t>39.2%</w:t>
      </w:r>
      <w:r>
        <w:rPr>
          <w:rFonts w:hint="eastAsia" w:eastAsia="仿宋_GB2312"/>
          <w:sz w:val="32"/>
          <w:szCs w:val="32"/>
        </w:rPr>
        <w:t>。偏差原因：材料不齐全，资金未支付；改进措施：尽快整理材料，完成资金支付。</w:t>
      </w:r>
    </w:p>
    <w:p w14:paraId="471E8994">
      <w:pPr>
        <w:spacing w:line="600" w:lineRule="exact"/>
        <w:ind w:firstLine="640" w:firstLineChars="200"/>
        <w:outlineLvl w:val="0"/>
        <w:rPr>
          <w:rFonts w:eastAsia="仿宋_GB2312"/>
          <w:sz w:val="32"/>
          <w:szCs w:val="32"/>
        </w:rPr>
      </w:pPr>
      <w:r>
        <w:rPr>
          <w:rFonts w:hint="eastAsia" w:eastAsia="仿宋_GB2312"/>
          <w:sz w:val="32"/>
          <w:szCs w:val="32"/>
        </w:rPr>
        <w:t>指标</w:t>
      </w:r>
      <w:r>
        <w:rPr>
          <w:rFonts w:eastAsia="仿宋_GB2312"/>
          <w:sz w:val="32"/>
          <w:szCs w:val="32"/>
        </w:rPr>
        <w:t>3</w:t>
      </w:r>
      <w:r>
        <w:rPr>
          <w:rFonts w:hint="eastAsia" w:eastAsia="仿宋_GB2312"/>
          <w:sz w:val="32"/>
          <w:szCs w:val="32"/>
        </w:rPr>
        <w:t>：爱耳日宣传经费</w:t>
      </w:r>
      <w:r>
        <w:rPr>
          <w:rFonts w:hint="eastAsia" w:eastAsia="方正仿宋_GBK"/>
          <w:sz w:val="32"/>
          <w:szCs w:val="32"/>
        </w:rPr>
        <w:t>，</w:t>
      </w:r>
      <w:r>
        <w:rPr>
          <w:rFonts w:hint="eastAsia" w:eastAsia="仿宋_GB2312"/>
          <w:sz w:val="32"/>
          <w:szCs w:val="32"/>
        </w:rPr>
        <w:t>指标值：</w:t>
      </w:r>
      <w:r>
        <w:rPr>
          <w:rFonts w:hint="eastAsia" w:eastAsia="方正仿宋_GBK"/>
          <w:sz w:val="32"/>
          <w:szCs w:val="32"/>
        </w:rPr>
        <w:t>&lt;=2000元</w:t>
      </w:r>
      <w:r>
        <w:rPr>
          <w:rFonts w:hint="eastAsia" w:eastAsia="仿宋_GB2312"/>
          <w:sz w:val="32"/>
          <w:szCs w:val="32"/>
        </w:rPr>
        <w:t>，实际完成值：</w:t>
      </w:r>
      <w:r>
        <w:rPr>
          <w:rFonts w:hint="eastAsia" w:eastAsia="方正仿宋_GBK"/>
          <w:sz w:val="32"/>
          <w:szCs w:val="32"/>
        </w:rPr>
        <w:t>2000元</w:t>
      </w:r>
      <w:r>
        <w:rPr>
          <w:rFonts w:hint="eastAsia" w:eastAsia="仿宋_GB2312"/>
          <w:sz w:val="32"/>
          <w:szCs w:val="32"/>
        </w:rPr>
        <w:t>，指标完成率</w:t>
      </w:r>
      <w:r>
        <w:rPr>
          <w:rFonts w:eastAsia="仿宋_GB2312"/>
          <w:sz w:val="32"/>
          <w:szCs w:val="32"/>
        </w:rPr>
        <w:t>100%</w:t>
      </w:r>
      <w:r>
        <w:rPr>
          <w:rFonts w:hint="eastAsia" w:eastAsia="仿宋_GB2312"/>
          <w:sz w:val="32"/>
          <w:szCs w:val="32"/>
        </w:rPr>
        <w:t>。</w:t>
      </w:r>
    </w:p>
    <w:p w14:paraId="4B4687DB">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此项权重分值为10分，得分为7.67分。</w:t>
      </w:r>
      <w:bookmarkEnd w:id="31"/>
      <w:bookmarkEnd w:id="32"/>
    </w:p>
    <w:p w14:paraId="479877D3">
      <w:pPr>
        <w:pStyle w:val="11"/>
        <w:numPr>
          <w:ilvl w:val="0"/>
          <w:numId w:val="4"/>
        </w:numPr>
        <w:spacing w:line="560" w:lineRule="exact"/>
        <w:ind w:firstLine="643"/>
        <w:rPr>
          <w:rFonts w:eastAsia="楷体_GB2312"/>
          <w:b/>
          <w:bCs/>
          <w:sz w:val="32"/>
          <w:szCs w:val="32"/>
        </w:rPr>
      </w:pPr>
      <w:r>
        <w:rPr>
          <w:rFonts w:eastAsia="楷体_GB2312"/>
          <w:b/>
          <w:bCs/>
          <w:sz w:val="32"/>
          <w:szCs w:val="32"/>
        </w:rPr>
        <w:t>项目效益情况</w:t>
      </w:r>
    </w:p>
    <w:p w14:paraId="01244D5A">
      <w:pPr>
        <w:spacing w:line="600" w:lineRule="exact"/>
        <w:ind w:firstLine="640" w:firstLineChars="200"/>
        <w:outlineLvl w:val="0"/>
        <w:rPr>
          <w:rFonts w:eastAsia="仿宋_GB2312"/>
          <w:sz w:val="32"/>
          <w:szCs w:val="32"/>
        </w:rPr>
      </w:pPr>
      <w:bookmarkStart w:id="55" w:name="OLE_LINK37"/>
      <w:bookmarkStart w:id="56" w:name="OLE_LINK36"/>
      <w:bookmarkStart w:id="57" w:name="OLE_LINK35"/>
      <w:r>
        <w:rPr>
          <w:rFonts w:eastAsia="仿宋_GB2312"/>
          <w:sz w:val="32"/>
          <w:szCs w:val="32"/>
        </w:rPr>
        <w:t>项目效益类指标包括项目实施效益和满意度两方面的内容，由</w:t>
      </w:r>
      <w:r>
        <w:rPr>
          <w:rFonts w:hint="eastAsia" w:eastAsia="仿宋_GB2312"/>
          <w:sz w:val="32"/>
          <w:szCs w:val="32"/>
        </w:rPr>
        <w:t>2</w:t>
      </w:r>
      <w:r>
        <w:rPr>
          <w:rFonts w:eastAsia="仿宋_GB2312"/>
          <w:sz w:val="32"/>
          <w:szCs w:val="32"/>
        </w:rPr>
        <w:t>个级指标构成，权重分为</w:t>
      </w:r>
      <w:bookmarkStart w:id="58" w:name="OLE_LINK72"/>
      <w:bookmarkStart w:id="59" w:name="OLE_LINK73"/>
      <w:bookmarkStart w:id="60" w:name="OLE_LINK74"/>
      <w:r>
        <w:rPr>
          <w:rFonts w:eastAsia="仿宋_GB2312"/>
          <w:sz w:val="32"/>
          <w:szCs w:val="32"/>
        </w:rPr>
        <w:t>20</w:t>
      </w:r>
      <w:bookmarkEnd w:id="58"/>
      <w:bookmarkEnd w:id="59"/>
      <w:bookmarkEnd w:id="60"/>
      <w:r>
        <w:rPr>
          <w:rFonts w:eastAsia="仿宋_GB2312"/>
          <w:sz w:val="32"/>
          <w:szCs w:val="32"/>
        </w:rPr>
        <w:t>分，实际得分20分，得分率为</w:t>
      </w:r>
      <w:r>
        <w:rPr>
          <w:rFonts w:hint="eastAsia" w:eastAsia="仿宋_GB2312"/>
          <w:sz w:val="32"/>
          <w:szCs w:val="32"/>
        </w:rPr>
        <w:t>100</w:t>
      </w:r>
      <w:r>
        <w:rPr>
          <w:rFonts w:eastAsia="仿宋_GB2312"/>
          <w:sz w:val="32"/>
          <w:szCs w:val="32"/>
        </w:rPr>
        <w:t>%。具体效益指标及满意度指标完成情况如下：</w:t>
      </w:r>
    </w:p>
    <w:p w14:paraId="215FAAA7">
      <w:pPr>
        <w:pStyle w:val="27"/>
        <w:numPr>
          <w:ilvl w:val="0"/>
          <w:numId w:val="5"/>
        </w:numPr>
        <w:spacing w:line="600" w:lineRule="exact"/>
        <w:ind w:firstLineChars="0"/>
        <w:outlineLvl w:val="0"/>
        <w:rPr>
          <w:rFonts w:eastAsia="仿宋_GB2312"/>
          <w:color w:val="FF0000"/>
          <w:sz w:val="32"/>
          <w:szCs w:val="32"/>
        </w:rPr>
      </w:pPr>
      <w:r>
        <w:rPr>
          <w:rFonts w:eastAsia="仿宋_GB2312"/>
          <w:sz w:val="32"/>
          <w:szCs w:val="32"/>
        </w:rPr>
        <w:t>实施效益</w:t>
      </w:r>
    </w:p>
    <w:p w14:paraId="1A1A201D">
      <w:pPr>
        <w:pStyle w:val="27"/>
        <w:numPr>
          <w:ilvl w:val="0"/>
          <w:numId w:val="6"/>
        </w:numPr>
        <w:spacing w:line="600" w:lineRule="exact"/>
        <w:ind w:firstLineChars="0"/>
        <w:outlineLvl w:val="0"/>
        <w:rPr>
          <w:rFonts w:eastAsia="仿宋_GB2312"/>
          <w:sz w:val="32"/>
          <w:szCs w:val="32"/>
        </w:rPr>
      </w:pPr>
      <w:r>
        <w:rPr>
          <w:rFonts w:eastAsia="仿宋_GB2312"/>
          <w:sz w:val="32"/>
          <w:szCs w:val="32"/>
        </w:rPr>
        <w:t>经济效益指标：</w:t>
      </w:r>
    </w:p>
    <w:p w14:paraId="428C5D3D">
      <w:pPr>
        <w:spacing w:line="600" w:lineRule="exact"/>
        <w:ind w:firstLine="640" w:firstLineChars="200"/>
        <w:outlineLvl w:val="0"/>
        <w:rPr>
          <w:rFonts w:eastAsia="仿宋_GB2312"/>
          <w:sz w:val="32"/>
          <w:szCs w:val="32"/>
        </w:rPr>
      </w:pPr>
      <w:r>
        <w:rPr>
          <w:rFonts w:hint="eastAsia" w:eastAsia="仿宋_GB2312"/>
          <w:sz w:val="32"/>
          <w:szCs w:val="32"/>
        </w:rPr>
        <w:t>指标</w:t>
      </w:r>
      <w:r>
        <w:rPr>
          <w:rFonts w:eastAsia="仿宋_GB2312"/>
          <w:sz w:val="32"/>
          <w:szCs w:val="32"/>
        </w:rPr>
        <w:t>1</w:t>
      </w:r>
      <w:r>
        <w:rPr>
          <w:rFonts w:hint="eastAsia" w:eastAsia="仿宋_GB2312"/>
          <w:sz w:val="32"/>
          <w:szCs w:val="32"/>
        </w:rPr>
        <w:t>：设备利用率</w:t>
      </w:r>
      <w:r>
        <w:rPr>
          <w:rFonts w:hint="eastAsia" w:eastAsia="方正仿宋_GBK"/>
          <w:sz w:val="32"/>
          <w:szCs w:val="32"/>
        </w:rPr>
        <w:t>，</w:t>
      </w:r>
      <w:r>
        <w:rPr>
          <w:rFonts w:hint="eastAsia" w:eastAsia="仿宋_GB2312"/>
          <w:sz w:val="32"/>
          <w:szCs w:val="32"/>
        </w:rPr>
        <w:t>指标值：</w:t>
      </w:r>
      <w:r>
        <w:rPr>
          <w:rFonts w:eastAsia="方正仿宋_GBK"/>
          <w:sz w:val="32"/>
          <w:szCs w:val="32"/>
        </w:rPr>
        <w:t>&gt;=90%</w:t>
      </w:r>
      <w:r>
        <w:rPr>
          <w:rFonts w:hint="eastAsia" w:eastAsia="仿宋_GB2312"/>
          <w:sz w:val="32"/>
          <w:szCs w:val="32"/>
        </w:rPr>
        <w:t>，实际完成值：</w:t>
      </w:r>
      <w:r>
        <w:t xml:space="preserve"> </w:t>
      </w:r>
      <w:r>
        <w:rPr>
          <w:rFonts w:eastAsia="仿宋_GB2312"/>
          <w:sz w:val="32"/>
          <w:szCs w:val="32"/>
        </w:rPr>
        <w:t>100%</w:t>
      </w:r>
      <w:r>
        <w:rPr>
          <w:rFonts w:hint="eastAsia" w:eastAsia="仿宋_GB2312"/>
          <w:sz w:val="32"/>
          <w:szCs w:val="32"/>
        </w:rPr>
        <w:t>，指标完成率</w:t>
      </w:r>
      <w:r>
        <w:rPr>
          <w:rFonts w:eastAsia="仿宋_GB2312"/>
          <w:sz w:val="32"/>
          <w:szCs w:val="32"/>
        </w:rPr>
        <w:t>111.11%</w:t>
      </w:r>
      <w:r>
        <w:rPr>
          <w:rFonts w:hint="eastAsia" w:eastAsia="仿宋_GB2312"/>
          <w:sz w:val="32"/>
          <w:szCs w:val="32"/>
        </w:rPr>
        <w:t>。偏差原因：根据实际情况设备利用率100%，改进措施：从严从高设置绩效指标。</w:t>
      </w:r>
    </w:p>
    <w:p w14:paraId="3FE27B86">
      <w:pPr>
        <w:spacing w:line="600" w:lineRule="exact"/>
        <w:ind w:firstLine="640" w:firstLineChars="200"/>
        <w:outlineLvl w:val="0"/>
        <w:rPr>
          <w:rFonts w:eastAsia="仿宋_GB2312"/>
          <w:sz w:val="32"/>
          <w:szCs w:val="32"/>
        </w:rPr>
      </w:pPr>
      <w:r>
        <w:rPr>
          <w:rFonts w:eastAsia="仿宋_GB2312"/>
          <w:sz w:val="32"/>
          <w:szCs w:val="32"/>
        </w:rPr>
        <w:t>②社会效益指标：</w:t>
      </w:r>
    </w:p>
    <w:p w14:paraId="6A94834A">
      <w:pPr>
        <w:spacing w:line="600" w:lineRule="exact"/>
        <w:ind w:firstLine="640" w:firstLineChars="200"/>
        <w:outlineLvl w:val="0"/>
        <w:rPr>
          <w:rFonts w:eastAsia="仿宋_GB2312"/>
          <w:sz w:val="32"/>
          <w:szCs w:val="32"/>
        </w:rPr>
      </w:pPr>
      <w:bookmarkStart w:id="61" w:name="OLE_LINK68"/>
      <w:bookmarkStart w:id="62" w:name="OLE_LINK69"/>
      <w:bookmarkStart w:id="63" w:name="OLE_LINK65"/>
      <w:bookmarkStart w:id="64" w:name="OLE_LINK66"/>
      <w:r>
        <w:rPr>
          <w:rFonts w:hint="eastAsia" w:eastAsia="仿宋_GB2312"/>
          <w:sz w:val="32"/>
          <w:szCs w:val="32"/>
        </w:rPr>
        <w:t>指标</w:t>
      </w:r>
      <w:r>
        <w:rPr>
          <w:rFonts w:eastAsia="仿宋_GB2312"/>
          <w:sz w:val="32"/>
          <w:szCs w:val="32"/>
        </w:rPr>
        <w:t>1</w:t>
      </w:r>
      <w:r>
        <w:rPr>
          <w:rFonts w:hint="eastAsia" w:eastAsia="仿宋_GB2312"/>
          <w:sz w:val="32"/>
          <w:szCs w:val="32"/>
        </w:rPr>
        <w:t>：提高残疾人康复服务水平，指标值：有所提高，实际完成值：有所提高，指标完成率100%。</w:t>
      </w:r>
      <w:bookmarkEnd w:id="61"/>
      <w:bookmarkEnd w:id="62"/>
      <w:bookmarkEnd w:id="63"/>
      <w:bookmarkEnd w:id="64"/>
    </w:p>
    <w:p w14:paraId="0008143F">
      <w:pPr>
        <w:spacing w:line="600" w:lineRule="exact"/>
        <w:ind w:firstLine="640" w:firstLineChars="200"/>
        <w:outlineLvl w:val="0"/>
        <w:rPr>
          <w:rFonts w:eastAsia="仿宋_GB2312"/>
          <w:sz w:val="32"/>
          <w:szCs w:val="32"/>
        </w:rPr>
      </w:pPr>
      <w:r>
        <w:rPr>
          <w:rFonts w:hint="eastAsia" w:eastAsia="仿宋_GB2312"/>
          <w:sz w:val="32"/>
          <w:szCs w:val="32"/>
        </w:rPr>
        <w:t>指标2：保障残疾人生活水平，指标值：有所保障，实际完成值：有所保障，指标完成率</w:t>
      </w:r>
      <w:r>
        <w:rPr>
          <w:rFonts w:eastAsia="仿宋_GB2312"/>
          <w:sz w:val="32"/>
          <w:szCs w:val="32"/>
        </w:rPr>
        <w:t>100%</w:t>
      </w:r>
      <w:r>
        <w:rPr>
          <w:rFonts w:hint="eastAsia" w:eastAsia="仿宋_GB2312"/>
          <w:sz w:val="32"/>
          <w:szCs w:val="32"/>
        </w:rPr>
        <w:t>。</w:t>
      </w:r>
    </w:p>
    <w:p w14:paraId="1DD8CBF1">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此项权重分值为10分，得分为10分。</w:t>
      </w:r>
      <w:bookmarkEnd w:id="55"/>
      <w:bookmarkEnd w:id="56"/>
    </w:p>
    <w:p w14:paraId="08610056">
      <w:pPr>
        <w:spacing w:line="600" w:lineRule="exact"/>
        <w:ind w:firstLine="640" w:firstLineChars="200"/>
        <w:outlineLvl w:val="0"/>
        <w:rPr>
          <w:rFonts w:eastAsia="仿宋_GB2312"/>
          <w:sz w:val="32"/>
          <w:szCs w:val="32"/>
        </w:rPr>
      </w:pPr>
      <w:r>
        <w:rPr>
          <w:rFonts w:eastAsia="仿宋_GB2312"/>
          <w:sz w:val="32"/>
          <w:szCs w:val="32"/>
        </w:rPr>
        <w:t>2.满意度</w:t>
      </w:r>
    </w:p>
    <w:p w14:paraId="07F17C97">
      <w:pPr>
        <w:spacing w:line="600" w:lineRule="exact"/>
        <w:ind w:firstLine="640" w:firstLineChars="200"/>
        <w:outlineLvl w:val="0"/>
        <w:rPr>
          <w:rFonts w:eastAsia="仿宋_GB2312"/>
          <w:sz w:val="32"/>
          <w:szCs w:val="32"/>
        </w:rPr>
      </w:pPr>
      <w:bookmarkStart w:id="65" w:name="OLE_LINK38"/>
      <w:bookmarkStart w:id="66" w:name="OLE_LINK39"/>
      <w:bookmarkStart w:id="67" w:name="OLE_LINK40"/>
      <w:r>
        <w:rPr>
          <w:rFonts w:hint="eastAsia" w:eastAsia="仿宋_GB2312"/>
          <w:sz w:val="32"/>
          <w:szCs w:val="32"/>
        </w:rPr>
        <w:t>指标</w:t>
      </w:r>
      <w:r>
        <w:rPr>
          <w:rFonts w:eastAsia="仿宋_GB2312"/>
          <w:sz w:val="32"/>
          <w:szCs w:val="32"/>
        </w:rPr>
        <w:t>1</w:t>
      </w:r>
      <w:r>
        <w:rPr>
          <w:rFonts w:hint="eastAsia" w:eastAsia="仿宋_GB2312"/>
          <w:sz w:val="32"/>
          <w:szCs w:val="32"/>
        </w:rPr>
        <w:t>：残疾人及其家属对残疾人服务的满意度</w:t>
      </w:r>
      <w:r>
        <w:rPr>
          <w:rFonts w:hint="eastAsia" w:eastAsia="方正仿宋_GBK"/>
          <w:sz w:val="32"/>
          <w:szCs w:val="32"/>
        </w:rPr>
        <w:t>，</w:t>
      </w:r>
      <w:r>
        <w:rPr>
          <w:rFonts w:hint="eastAsia" w:eastAsia="仿宋_GB2312"/>
          <w:sz w:val="32"/>
          <w:szCs w:val="32"/>
        </w:rPr>
        <w:t>指标值：</w:t>
      </w:r>
      <w:r>
        <w:rPr>
          <w:rFonts w:eastAsia="方正仿宋_GBK"/>
          <w:sz w:val="32"/>
          <w:szCs w:val="32"/>
        </w:rPr>
        <w:t>=</w:t>
      </w:r>
      <w:bookmarkStart w:id="68" w:name="OLE_LINK71"/>
      <w:bookmarkStart w:id="69" w:name="OLE_LINK70"/>
      <w:r>
        <w:rPr>
          <w:rFonts w:eastAsia="方正仿宋_GBK"/>
          <w:sz w:val="32"/>
          <w:szCs w:val="32"/>
        </w:rPr>
        <w:t>100%</w:t>
      </w:r>
      <w:bookmarkEnd w:id="68"/>
      <w:bookmarkEnd w:id="69"/>
      <w:r>
        <w:rPr>
          <w:rFonts w:hint="eastAsia" w:eastAsia="仿宋_GB2312"/>
          <w:sz w:val="32"/>
          <w:szCs w:val="32"/>
        </w:rPr>
        <w:t>，实际完成值：</w:t>
      </w:r>
      <w:r>
        <w:rPr>
          <w:rFonts w:eastAsia="方正仿宋_GBK"/>
          <w:sz w:val="32"/>
          <w:szCs w:val="32"/>
        </w:rPr>
        <w:t>100%</w:t>
      </w:r>
      <w:r>
        <w:rPr>
          <w:rFonts w:hint="eastAsia" w:eastAsia="仿宋_GB2312"/>
          <w:sz w:val="32"/>
          <w:szCs w:val="32"/>
        </w:rPr>
        <w:t>，指标完成率</w:t>
      </w:r>
      <w:r>
        <w:rPr>
          <w:rFonts w:eastAsia="仿宋_GB2312"/>
          <w:sz w:val="32"/>
          <w:szCs w:val="32"/>
        </w:rPr>
        <w:t>100%</w:t>
      </w:r>
      <w:r>
        <w:rPr>
          <w:rFonts w:hint="eastAsia" w:eastAsia="仿宋_GB2312"/>
          <w:sz w:val="32"/>
          <w:szCs w:val="32"/>
        </w:rPr>
        <w:t>。</w:t>
      </w:r>
    </w:p>
    <w:p w14:paraId="23CD8BC3">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此项权重分值为10分，得分为10分。</w:t>
      </w:r>
      <w:bookmarkEnd w:id="57"/>
      <w:bookmarkEnd w:id="65"/>
    </w:p>
    <w:p w14:paraId="295D6D46">
      <w:pPr>
        <w:spacing w:line="560" w:lineRule="exact"/>
        <w:ind w:firstLine="643" w:firstLineChars="200"/>
        <w:rPr>
          <w:rFonts w:eastAsia="楷体_GB2312"/>
          <w:b/>
          <w:bCs/>
          <w:sz w:val="32"/>
          <w:szCs w:val="32"/>
        </w:rPr>
      </w:pPr>
      <w:r>
        <w:rPr>
          <w:rFonts w:eastAsia="楷体_GB2312"/>
          <w:b/>
          <w:bCs/>
          <w:sz w:val="32"/>
          <w:szCs w:val="32"/>
        </w:rPr>
        <w:t>（五）预算执行进度与绩效指标总体完成率偏差</w:t>
      </w:r>
    </w:p>
    <w:p w14:paraId="143DF7A6">
      <w:pPr>
        <w:spacing w:line="560" w:lineRule="exact"/>
        <w:ind w:firstLine="640" w:firstLineChars="200"/>
        <w:rPr>
          <w:rFonts w:eastAsia="仿宋_GB2312"/>
          <w:sz w:val="32"/>
          <w:szCs w:val="32"/>
        </w:rPr>
      </w:pPr>
      <w:r>
        <w:rPr>
          <w:rFonts w:hint="eastAsia" w:eastAsia="仿宋_GB2312"/>
          <w:sz w:val="32"/>
          <w:szCs w:val="32"/>
        </w:rPr>
        <w:t>巴财社[2023]83号关于提前下达2024年自治区财政残疾人事业发展补助资金</w:t>
      </w:r>
      <w:r>
        <w:rPr>
          <w:rFonts w:eastAsia="仿宋_GB2312"/>
          <w:sz w:val="32"/>
          <w:szCs w:val="32"/>
        </w:rPr>
        <w:t>项目年初预算18.31万元，全年预算1.63万元，实际支出1.25万元，预算执行率为76.69%，项目绩效指标总体完成率为</w:t>
      </w:r>
      <w:r>
        <w:rPr>
          <w:rFonts w:hint="eastAsia" w:eastAsia="仿宋_GB2312"/>
          <w:sz w:val="32"/>
          <w:szCs w:val="32"/>
        </w:rPr>
        <w:t>97.79</w:t>
      </w:r>
      <w:r>
        <w:rPr>
          <w:rFonts w:eastAsia="仿宋_GB2312"/>
          <w:sz w:val="32"/>
          <w:szCs w:val="32"/>
        </w:rPr>
        <w:t>%，总体偏差率为</w:t>
      </w:r>
      <w:r>
        <w:rPr>
          <w:rFonts w:hint="eastAsia" w:eastAsia="仿宋_GB2312"/>
          <w:sz w:val="32"/>
          <w:szCs w:val="32"/>
        </w:rPr>
        <w:t>21.1</w:t>
      </w:r>
      <w:r>
        <w:rPr>
          <w:rFonts w:eastAsia="仿宋_GB2312"/>
          <w:sz w:val="32"/>
          <w:szCs w:val="32"/>
        </w:rPr>
        <w:t>%</w:t>
      </w:r>
      <w:r>
        <w:rPr>
          <w:rFonts w:hint="eastAsia" w:eastAsia="仿宋_GB2312"/>
          <w:sz w:val="32"/>
          <w:szCs w:val="32"/>
        </w:rPr>
        <w:t>，偏差原因：动态更新调查不精准，残疾人基本康复训练、残疾儿童康复训练项目材料不齐全，资金未支付；改进措施：督促第三方及时整理材料，按时完成资金支付。</w:t>
      </w:r>
      <w:bookmarkEnd w:id="66"/>
      <w:bookmarkEnd w:id="67"/>
    </w:p>
    <w:p w14:paraId="390B3022">
      <w:pPr>
        <w:pStyle w:val="21"/>
        <w:spacing w:line="560" w:lineRule="exact"/>
        <w:ind w:firstLine="640"/>
        <w:rPr>
          <w:rStyle w:val="20"/>
          <w:rFonts w:ascii="Times New Roman" w:hAnsi="Times New Roman" w:cs="Times New Roman"/>
          <w:color w:val="auto"/>
        </w:rPr>
      </w:pPr>
      <w:r>
        <w:rPr>
          <w:rFonts w:hint="eastAsia" w:eastAsia="黑体"/>
          <w:sz w:val="32"/>
          <w:szCs w:val="32"/>
        </w:rPr>
        <w:t>五</w:t>
      </w:r>
      <w:r>
        <w:rPr>
          <w:rFonts w:eastAsia="仿宋_GB2312"/>
          <w:b/>
          <w:bCs/>
          <w:sz w:val="32"/>
          <w:szCs w:val="32"/>
        </w:rPr>
        <w:t>.</w:t>
      </w:r>
      <w:r>
        <w:rPr>
          <w:rFonts w:eastAsia="黑体"/>
          <w:sz w:val="32"/>
          <w:szCs w:val="32"/>
        </w:rPr>
        <w:t>主要经验及做法、存在的问题及原因分析</w:t>
      </w:r>
    </w:p>
    <w:p w14:paraId="77C988D0">
      <w:pPr>
        <w:spacing w:line="560" w:lineRule="exact"/>
        <w:ind w:firstLine="627" w:firstLineChars="200"/>
        <w:rPr>
          <w:rFonts w:eastAsia="楷体"/>
          <w:b/>
          <w:spacing w:val="-4"/>
          <w:sz w:val="32"/>
          <w:szCs w:val="32"/>
        </w:rPr>
      </w:pPr>
      <w:bookmarkStart w:id="70" w:name="OLE_LINK41"/>
      <w:bookmarkStart w:id="71" w:name="OLE_LINK42"/>
      <w:r>
        <w:rPr>
          <w:rFonts w:eastAsia="楷体"/>
          <w:b/>
          <w:spacing w:val="-4"/>
          <w:sz w:val="32"/>
          <w:szCs w:val="32"/>
        </w:rPr>
        <w:t>（一）主要经验及做法</w:t>
      </w:r>
    </w:p>
    <w:p w14:paraId="0CF7940E">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13F337E">
      <w:pPr>
        <w:pStyle w:val="10"/>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w:t>
      </w:r>
      <w:r>
        <w:rPr>
          <w:rFonts w:hint="eastAsia" w:ascii="Times New Roman" w:hAnsi="Times New Roman" w:eastAsia="仿宋_GB2312"/>
          <w:b w:val="0"/>
          <w:bCs w:val="0"/>
          <w:kern w:val="2"/>
        </w:rPr>
        <w:t>杜绝</w:t>
      </w:r>
      <w:r>
        <w:rPr>
          <w:rFonts w:ascii="Times New Roman" w:hAnsi="Times New Roman" w:eastAsia="仿宋_GB2312"/>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60C941B6">
      <w:pPr>
        <w:spacing w:line="560" w:lineRule="exact"/>
        <w:ind w:firstLine="627" w:firstLineChars="200"/>
        <w:rPr>
          <w:rFonts w:eastAsia="楷体"/>
          <w:b/>
          <w:spacing w:val="-4"/>
          <w:sz w:val="32"/>
          <w:szCs w:val="32"/>
        </w:rPr>
      </w:pPr>
      <w:r>
        <w:rPr>
          <w:rFonts w:eastAsia="楷体"/>
          <w:b/>
          <w:spacing w:val="-4"/>
          <w:sz w:val="32"/>
          <w:szCs w:val="32"/>
        </w:rPr>
        <w:t>（二）存在的问题及原因分析</w:t>
      </w:r>
    </w:p>
    <w:p w14:paraId="45C04F4F">
      <w:pPr>
        <w:pStyle w:val="10"/>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1.相关绩效管理方面专业知识的系统性学习有待加强。各项指标的设置要进一步优化、完善，主要在细化、量化上改进。在绩效自评过程中，</w:t>
      </w:r>
      <w:r>
        <w:rPr>
          <w:rFonts w:hint="eastAsia" w:ascii="Times New Roman" w:hAnsi="Times New Roman" w:eastAsia="仿宋_GB2312"/>
          <w:b w:val="0"/>
          <w:bCs w:val="0"/>
          <w:kern w:val="2"/>
          <w:lang w:eastAsia="zh-CN"/>
        </w:rPr>
        <w:t>由于</w:t>
      </w:r>
      <w:r>
        <w:rPr>
          <w:rFonts w:ascii="Times New Roman" w:hAnsi="Times New Roman" w:eastAsia="仿宋_GB2312"/>
          <w:b w:val="0"/>
          <w:bCs w:val="0"/>
          <w:kern w:val="2"/>
        </w:rPr>
        <w:t>部分人员缺乏相关绩效管理专业知识，自评价工作还存在自我审定的局限性，影响评价质量。</w:t>
      </w:r>
    </w:p>
    <w:p w14:paraId="1BA4B235">
      <w:pPr>
        <w:pStyle w:val="10"/>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2.因轮岗、调动</w:t>
      </w:r>
      <w:r>
        <w:rPr>
          <w:rFonts w:hint="eastAsia" w:ascii="Times New Roman" w:hAnsi="Times New Roman" w:eastAsia="仿宋_GB2312"/>
          <w:b w:val="0"/>
          <w:bCs w:val="0"/>
          <w:kern w:val="2"/>
        </w:rPr>
        <w:t>等</w:t>
      </w:r>
      <w:r>
        <w:rPr>
          <w:rFonts w:ascii="Times New Roman" w:hAnsi="Times New Roman" w:eastAsia="仿宋_GB2312"/>
          <w:b w:val="0"/>
          <w:bCs w:val="0"/>
          <w:kern w:val="2"/>
        </w:rPr>
        <w:t>因素使我单位绩效工作人员流动频繁，</w:t>
      </w:r>
      <w:r>
        <w:rPr>
          <w:rFonts w:hint="eastAsia" w:ascii="Times New Roman" w:hAnsi="Times New Roman" w:eastAsia="仿宋_GB2312"/>
          <w:b w:val="0"/>
          <w:bCs w:val="0"/>
          <w:kern w:val="2"/>
        </w:rPr>
        <w:t>造成</w:t>
      </w:r>
      <w:r>
        <w:rPr>
          <w:rFonts w:ascii="Times New Roman" w:hAnsi="Times New Roman" w:eastAsia="仿宋_GB2312"/>
          <w:b w:val="0"/>
          <w:bCs w:val="0"/>
          <w:kern w:val="2"/>
        </w:rPr>
        <w:t>工作衔接不到位的情况。</w:t>
      </w:r>
      <w:bookmarkEnd w:id="70"/>
      <w:bookmarkEnd w:id="71"/>
    </w:p>
    <w:p w14:paraId="6C393A09">
      <w:pPr>
        <w:spacing w:line="560" w:lineRule="exact"/>
        <w:ind w:firstLine="640" w:firstLineChars="200"/>
        <w:rPr>
          <w:rFonts w:eastAsia="黑体"/>
          <w:sz w:val="32"/>
          <w:szCs w:val="32"/>
        </w:rPr>
      </w:pPr>
      <w:r>
        <w:rPr>
          <w:rFonts w:hint="eastAsia" w:eastAsia="黑体"/>
          <w:sz w:val="32"/>
          <w:szCs w:val="32"/>
        </w:rPr>
        <w:t>六</w:t>
      </w:r>
      <w:r>
        <w:rPr>
          <w:rFonts w:eastAsia="黑体"/>
          <w:sz w:val="32"/>
          <w:szCs w:val="32"/>
        </w:rPr>
        <w:t>.有关建议</w:t>
      </w:r>
    </w:p>
    <w:p w14:paraId="5DDC518C">
      <w:pPr>
        <w:spacing w:line="600" w:lineRule="exact"/>
        <w:ind w:firstLine="640" w:firstLineChars="200"/>
        <w:outlineLvl w:val="0"/>
        <w:rPr>
          <w:rFonts w:eastAsia="仿宋_GB2312"/>
          <w:sz w:val="32"/>
          <w:szCs w:val="32"/>
        </w:rPr>
      </w:pPr>
      <w:bookmarkStart w:id="72" w:name="OLE_LINK44"/>
      <w:bookmarkStart w:id="73" w:name="OLE_LINK43"/>
      <w:r>
        <w:rPr>
          <w:rFonts w:eastAsia="仿宋_GB2312"/>
          <w:sz w:val="32"/>
          <w:szCs w:val="32"/>
        </w:rPr>
        <w:t>1.多进行有关绩效管理工作方面的培训。积极组织第三方开展绩效管理工作培训，进一步夯实业务基础，提高我单位绩效人员水平。</w:t>
      </w:r>
    </w:p>
    <w:p w14:paraId="36E78F98">
      <w:pPr>
        <w:spacing w:line="600" w:lineRule="exact"/>
        <w:ind w:firstLine="640" w:firstLineChars="200"/>
        <w:outlineLvl w:val="0"/>
        <w:rPr>
          <w:rFonts w:eastAsia="仿宋_GB2312"/>
          <w:sz w:val="32"/>
          <w:szCs w:val="32"/>
        </w:rPr>
      </w:pPr>
      <w:r>
        <w:rPr>
          <w:rFonts w:eastAsia="仿宋_GB2312"/>
          <w:sz w:val="32"/>
          <w:szCs w:val="32"/>
        </w:rPr>
        <w:t>2.专门设定对绩效工作人员定职、定岗、定责等相关制度措施，进一步提升我单位绩效管理工作业务水平，扎实做好绩效管理工作。</w:t>
      </w:r>
    </w:p>
    <w:p w14:paraId="1A34AADB">
      <w:pPr>
        <w:spacing w:line="600" w:lineRule="exact"/>
        <w:ind w:firstLine="640" w:firstLineChars="200"/>
        <w:outlineLvl w:val="0"/>
        <w:rPr>
          <w:rFonts w:eastAsia="仿宋_GB2312"/>
          <w:sz w:val="32"/>
          <w:szCs w:val="32"/>
        </w:rPr>
      </w:pPr>
      <w:r>
        <w:rPr>
          <w:rFonts w:eastAsia="仿宋_GB2312"/>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58E1F9F8">
      <w:pPr>
        <w:spacing w:line="600" w:lineRule="exact"/>
        <w:ind w:firstLine="640" w:firstLineChars="200"/>
        <w:outlineLvl w:val="0"/>
        <w:rPr>
          <w:sz w:val="22"/>
          <w:szCs w:val="28"/>
        </w:rPr>
      </w:pPr>
      <w:r>
        <w:rPr>
          <w:rFonts w:eastAsia="仿宋_GB2312"/>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eastAsia="仿宋_GB2312"/>
          <w:sz w:val="36"/>
          <w:szCs w:val="32"/>
        </w:rPr>
        <w:t>。</w:t>
      </w:r>
    </w:p>
    <w:p w14:paraId="00C3DA2C">
      <w:pPr>
        <w:spacing w:line="600" w:lineRule="exact"/>
        <w:ind w:firstLine="640" w:firstLineChars="200"/>
        <w:outlineLvl w:val="0"/>
        <w:rPr>
          <w:rFonts w:eastAsia="仿宋_GB2312"/>
          <w:sz w:val="32"/>
          <w:szCs w:val="32"/>
        </w:rPr>
      </w:pPr>
      <w:r>
        <w:rPr>
          <w:rFonts w:eastAsia="仿宋_GB2312"/>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bookmarkEnd w:id="72"/>
      <w:bookmarkEnd w:id="73"/>
    </w:p>
    <w:p w14:paraId="6318DBDE">
      <w:pPr>
        <w:spacing w:line="560" w:lineRule="exact"/>
        <w:ind w:firstLine="640" w:firstLineChars="200"/>
        <w:rPr>
          <w:rFonts w:eastAsia="黑体"/>
          <w:sz w:val="32"/>
          <w:szCs w:val="32"/>
        </w:rPr>
      </w:pPr>
      <w:r>
        <w:rPr>
          <w:rFonts w:hint="eastAsia" w:eastAsia="黑体"/>
          <w:sz w:val="32"/>
          <w:szCs w:val="32"/>
        </w:rPr>
        <w:t>七</w:t>
      </w:r>
      <w:r>
        <w:rPr>
          <w:rFonts w:eastAsia="仿宋_GB2312"/>
          <w:b/>
          <w:bCs/>
          <w:sz w:val="32"/>
          <w:szCs w:val="32"/>
        </w:rPr>
        <w:t>.</w:t>
      </w:r>
      <w:r>
        <w:rPr>
          <w:rFonts w:eastAsia="黑体"/>
          <w:sz w:val="32"/>
          <w:szCs w:val="32"/>
        </w:rPr>
        <w:t>其他需要说</w:t>
      </w:r>
      <w:bookmarkStart w:id="74" w:name="page8"/>
      <w:bookmarkEnd w:id="74"/>
      <w:r>
        <w:rPr>
          <w:rFonts w:eastAsia="黑体"/>
          <w:sz w:val="32"/>
          <w:szCs w:val="32"/>
        </w:rPr>
        <w:t>明的问题</w:t>
      </w:r>
    </w:p>
    <w:p w14:paraId="1EC159DE">
      <w:pPr>
        <w:pStyle w:val="12"/>
        <w:spacing w:after="0" w:line="560" w:lineRule="exact"/>
        <w:ind w:left="0" w:leftChars="0" w:firstLine="640"/>
        <w:rPr>
          <w:rFonts w:ascii="Times New Roman" w:hAnsi="Times New Roman" w:eastAsia="仿宋_GB2312"/>
          <w:sz w:val="32"/>
          <w:szCs w:val="32"/>
        </w:rPr>
      </w:pPr>
      <w:r>
        <w:rPr>
          <w:rFonts w:ascii="Times New Roman" w:hAnsi="Times New Roman" w:eastAsia="仿宋_GB2312"/>
          <w:sz w:val="32"/>
          <w:szCs w:val="32"/>
        </w:rPr>
        <w:t>本项目无其他需说明的问题。</w:t>
      </w:r>
    </w:p>
    <w:p w14:paraId="12C297F4">
      <w:pPr>
        <w:pStyle w:val="12"/>
        <w:spacing w:after="0" w:line="560" w:lineRule="exact"/>
        <w:ind w:left="0" w:leftChars="0" w:firstLine="640"/>
        <w:rPr>
          <w:rFonts w:ascii="Times New Roman" w:hAnsi="Times New Roman" w:eastAsia="仿宋_GB2312"/>
          <w:sz w:val="32"/>
          <w:szCs w:val="32"/>
        </w:rPr>
      </w:pPr>
    </w:p>
    <w:p w14:paraId="036E97C0">
      <w:pPr>
        <w:pStyle w:val="12"/>
        <w:spacing w:after="0" w:line="560" w:lineRule="exact"/>
        <w:ind w:left="0" w:leftChars="0" w:firstLine="640"/>
        <w:rPr>
          <w:rFonts w:ascii="Times New Roman" w:hAnsi="Times New Roman" w:eastAsia="仿宋_GB2312"/>
          <w:sz w:val="32"/>
          <w:szCs w:val="32"/>
        </w:rPr>
      </w:pPr>
    </w:p>
    <w:p w14:paraId="7CD471B3">
      <w:pPr>
        <w:pStyle w:val="12"/>
        <w:spacing w:after="0" w:line="560" w:lineRule="exact"/>
        <w:ind w:left="0" w:leftChars="0" w:firstLine="0" w:firstLineChars="0"/>
        <w:rPr>
          <w:rFonts w:ascii="Times New Roman" w:hAnsi="Times New Roman" w:eastAsia="仿宋_GB2312"/>
          <w:sz w:val="32"/>
          <w:szCs w:val="32"/>
        </w:rPr>
      </w:pPr>
    </w:p>
    <w:p w14:paraId="62ED78C2">
      <w:pPr>
        <w:spacing w:line="600" w:lineRule="exact"/>
        <w:rPr>
          <w:rFonts w:eastAsia="黑体"/>
          <w:sz w:val="32"/>
          <w:szCs w:val="32"/>
        </w:rPr>
        <w:sectPr>
          <w:footerReference r:id="rId3" w:type="default"/>
          <w:pgSz w:w="11906" w:h="16838"/>
          <w:pgMar w:top="1440" w:right="1558" w:bottom="1440" w:left="1800" w:header="851" w:footer="992" w:gutter="0"/>
          <w:pgNumType w:start="1"/>
          <w:cols w:space="425" w:num="1"/>
          <w:docGrid w:type="lines" w:linePitch="312" w:charSpace="0"/>
        </w:sectPr>
      </w:pPr>
    </w:p>
    <w:p w14:paraId="335BB2F8">
      <w:pPr>
        <w:spacing w:line="600" w:lineRule="exact"/>
        <w:rPr>
          <w:rFonts w:eastAsia="黑体"/>
          <w:sz w:val="32"/>
          <w:szCs w:val="32"/>
        </w:rPr>
      </w:pPr>
      <w:r>
        <w:rPr>
          <w:rFonts w:hint="eastAsia" w:eastAsia="黑体"/>
          <w:sz w:val="32"/>
          <w:szCs w:val="32"/>
        </w:rPr>
        <w:t>附件1</w:t>
      </w:r>
    </w:p>
    <w:p w14:paraId="22112C9F">
      <w:pPr>
        <w:pStyle w:val="21"/>
        <w:ind w:firstLine="562"/>
        <w:jc w:val="center"/>
        <w:rPr>
          <w:rFonts w:ascii="仿宋_GB2312" w:hAnsi="仿宋_GB2312" w:eastAsia="仿宋_GB2312" w:cs="仿宋_GB2312"/>
          <w:sz w:val="28"/>
          <w:szCs w:val="40"/>
        </w:rPr>
      </w:pPr>
      <w:bookmarkStart w:id="75" w:name="_Toc26499_WPSOffice_Level2"/>
      <w:bookmarkStart w:id="76" w:name="_Toc30064_WPSOffice_Level1"/>
      <w:r>
        <w:rPr>
          <w:rFonts w:hint="eastAsia" w:eastAsia="仿宋_GB2312"/>
          <w:sz w:val="32"/>
          <w:szCs w:val="32"/>
        </w:rPr>
        <w:t>巴财社[2023]83号关于提前下达2024年自治区财政残疾人事业发展补助资金</w:t>
      </w:r>
      <w:r>
        <w:rPr>
          <w:rFonts w:hint="eastAsia" w:ascii="仿宋_GB2312" w:hAnsi="仿宋_GB2312" w:eastAsia="仿宋_GB2312" w:cs="仿宋_GB2312"/>
          <w:b/>
          <w:bCs/>
          <w:sz w:val="28"/>
          <w:szCs w:val="40"/>
        </w:rPr>
        <w:t>项目绩效评价指标体系及综合评分表</w:t>
      </w:r>
      <w:bookmarkEnd w:id="75"/>
      <w:bookmarkEnd w:id="76"/>
    </w:p>
    <w:tbl>
      <w:tblPr>
        <w:tblStyle w:val="13"/>
        <w:tblW w:w="1268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04"/>
        <w:gridCol w:w="1000"/>
        <w:gridCol w:w="1071"/>
        <w:gridCol w:w="1726"/>
        <w:gridCol w:w="5216"/>
        <w:gridCol w:w="1300"/>
        <w:gridCol w:w="1366"/>
      </w:tblGrid>
      <w:tr w14:paraId="4EA318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tblHeader/>
          <w:jc w:val="center"/>
        </w:trPr>
        <w:tc>
          <w:tcPr>
            <w:tcW w:w="1004" w:type="dxa"/>
            <w:shd w:val="clear" w:color="auto" w:fill="FFFFFF"/>
            <w:vAlign w:val="center"/>
          </w:tcPr>
          <w:p w14:paraId="39D11BA2">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一级指标</w:t>
            </w:r>
          </w:p>
        </w:tc>
        <w:tc>
          <w:tcPr>
            <w:tcW w:w="1000" w:type="dxa"/>
            <w:shd w:val="clear" w:color="auto" w:fill="FFFFFF"/>
            <w:vAlign w:val="center"/>
          </w:tcPr>
          <w:p w14:paraId="3160983A">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二级指标</w:t>
            </w:r>
          </w:p>
        </w:tc>
        <w:tc>
          <w:tcPr>
            <w:tcW w:w="1071" w:type="dxa"/>
            <w:shd w:val="clear" w:color="auto" w:fill="FFFFFF"/>
            <w:vAlign w:val="center"/>
          </w:tcPr>
          <w:p w14:paraId="339B2D7C">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三级指标</w:t>
            </w:r>
          </w:p>
        </w:tc>
        <w:tc>
          <w:tcPr>
            <w:tcW w:w="1726" w:type="dxa"/>
            <w:shd w:val="clear" w:color="auto" w:fill="FFFFFF"/>
            <w:vAlign w:val="center"/>
          </w:tcPr>
          <w:p w14:paraId="384F7F7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指标解释</w:t>
            </w:r>
          </w:p>
        </w:tc>
        <w:tc>
          <w:tcPr>
            <w:tcW w:w="5216" w:type="dxa"/>
            <w:shd w:val="clear" w:color="auto" w:fill="FFFFFF"/>
            <w:vAlign w:val="center"/>
          </w:tcPr>
          <w:p w14:paraId="44B05546">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指标说明</w:t>
            </w:r>
          </w:p>
        </w:tc>
        <w:tc>
          <w:tcPr>
            <w:tcW w:w="1300" w:type="dxa"/>
            <w:shd w:val="clear" w:color="auto" w:fill="FFFFFF"/>
            <w:vAlign w:val="center"/>
          </w:tcPr>
          <w:p w14:paraId="6EDDFC7C">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权重</w:t>
            </w:r>
          </w:p>
        </w:tc>
        <w:tc>
          <w:tcPr>
            <w:tcW w:w="1366" w:type="dxa"/>
            <w:shd w:val="clear" w:color="auto" w:fill="FFFFFF"/>
            <w:vAlign w:val="center"/>
          </w:tcPr>
          <w:p w14:paraId="50910EC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得分</w:t>
            </w:r>
          </w:p>
        </w:tc>
      </w:tr>
      <w:tr w14:paraId="2C6B21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19" w:hRule="atLeast"/>
          <w:jc w:val="center"/>
        </w:trPr>
        <w:tc>
          <w:tcPr>
            <w:tcW w:w="1004" w:type="dxa"/>
            <w:vMerge w:val="restart"/>
            <w:shd w:val="clear" w:color="auto" w:fill="FFFFFF"/>
            <w:vAlign w:val="center"/>
          </w:tcPr>
          <w:p w14:paraId="0DF3E61A">
            <w:pPr>
              <w:widowControl/>
              <w:spacing w:line="0" w:lineRule="atLeast"/>
              <w:jc w:val="center"/>
              <w:rPr>
                <w:rFonts w:eastAsia="仿宋_GB2312"/>
                <w:color w:val="000000"/>
                <w:kern w:val="0"/>
                <w:sz w:val="18"/>
                <w:szCs w:val="18"/>
              </w:rPr>
            </w:pPr>
          </w:p>
          <w:p w14:paraId="7BD6E8CE">
            <w:pPr>
              <w:widowControl/>
              <w:spacing w:line="0" w:lineRule="atLeast"/>
              <w:jc w:val="center"/>
              <w:rPr>
                <w:rFonts w:eastAsia="仿宋_GB2312"/>
                <w:color w:val="000000"/>
                <w:kern w:val="0"/>
                <w:sz w:val="18"/>
                <w:szCs w:val="18"/>
              </w:rPr>
            </w:pPr>
          </w:p>
          <w:p w14:paraId="748BBB54">
            <w:pPr>
              <w:widowControl/>
              <w:spacing w:line="0" w:lineRule="atLeast"/>
              <w:jc w:val="center"/>
              <w:rPr>
                <w:rFonts w:eastAsia="仿宋_GB2312"/>
                <w:color w:val="000000"/>
                <w:kern w:val="0"/>
                <w:sz w:val="18"/>
                <w:szCs w:val="18"/>
              </w:rPr>
            </w:pPr>
          </w:p>
          <w:p w14:paraId="427C5C0C">
            <w:pPr>
              <w:widowControl/>
              <w:spacing w:line="0" w:lineRule="atLeast"/>
              <w:jc w:val="center"/>
              <w:rPr>
                <w:rFonts w:eastAsia="仿宋_GB2312"/>
                <w:color w:val="000000"/>
                <w:kern w:val="0"/>
                <w:sz w:val="18"/>
                <w:szCs w:val="18"/>
              </w:rPr>
            </w:pPr>
          </w:p>
          <w:p w14:paraId="30712DB1">
            <w:pPr>
              <w:widowControl/>
              <w:spacing w:line="0" w:lineRule="atLeast"/>
              <w:jc w:val="center"/>
              <w:rPr>
                <w:rFonts w:eastAsia="仿宋_GB2312"/>
                <w:color w:val="000000"/>
                <w:kern w:val="0"/>
                <w:sz w:val="18"/>
                <w:szCs w:val="18"/>
              </w:rPr>
            </w:pPr>
          </w:p>
          <w:p w14:paraId="1B179870">
            <w:pPr>
              <w:widowControl/>
              <w:spacing w:line="0" w:lineRule="atLeast"/>
              <w:jc w:val="center"/>
              <w:rPr>
                <w:rFonts w:eastAsia="仿宋_GB2312"/>
                <w:color w:val="000000"/>
                <w:kern w:val="0"/>
                <w:sz w:val="18"/>
                <w:szCs w:val="18"/>
              </w:rPr>
            </w:pPr>
          </w:p>
          <w:p w14:paraId="1F60EEE1">
            <w:pPr>
              <w:widowControl/>
              <w:spacing w:line="0" w:lineRule="atLeast"/>
              <w:jc w:val="center"/>
              <w:rPr>
                <w:rFonts w:eastAsia="仿宋_GB2312"/>
                <w:color w:val="000000"/>
                <w:kern w:val="0"/>
                <w:sz w:val="18"/>
                <w:szCs w:val="18"/>
              </w:rPr>
            </w:pPr>
            <w:r>
              <w:rPr>
                <w:rFonts w:eastAsia="仿宋_GB2312"/>
                <w:color w:val="000000"/>
                <w:kern w:val="0"/>
                <w:sz w:val="18"/>
                <w:szCs w:val="18"/>
              </w:rPr>
              <w:t>决策　</w:t>
            </w:r>
          </w:p>
        </w:tc>
        <w:tc>
          <w:tcPr>
            <w:tcW w:w="1000" w:type="dxa"/>
            <w:vMerge w:val="restart"/>
            <w:shd w:val="clear" w:color="auto" w:fill="FFFFFF"/>
            <w:vAlign w:val="center"/>
          </w:tcPr>
          <w:p w14:paraId="246B4C87">
            <w:pPr>
              <w:widowControl/>
              <w:spacing w:line="0" w:lineRule="atLeast"/>
              <w:jc w:val="center"/>
              <w:rPr>
                <w:rFonts w:eastAsia="仿宋_GB2312"/>
                <w:color w:val="000000"/>
                <w:kern w:val="0"/>
                <w:sz w:val="18"/>
                <w:szCs w:val="18"/>
              </w:rPr>
            </w:pPr>
            <w:r>
              <w:rPr>
                <w:rFonts w:eastAsia="仿宋_GB2312"/>
                <w:color w:val="000000"/>
                <w:kern w:val="0"/>
                <w:sz w:val="18"/>
                <w:szCs w:val="18"/>
              </w:rPr>
              <w:t>项目立项　</w:t>
            </w:r>
          </w:p>
        </w:tc>
        <w:tc>
          <w:tcPr>
            <w:tcW w:w="1071" w:type="dxa"/>
            <w:shd w:val="clear" w:color="auto" w:fill="FFFFFF"/>
            <w:vAlign w:val="center"/>
          </w:tcPr>
          <w:p w14:paraId="70295D6C">
            <w:pPr>
              <w:widowControl/>
              <w:spacing w:line="0" w:lineRule="atLeast"/>
              <w:jc w:val="center"/>
              <w:rPr>
                <w:rFonts w:eastAsia="仿宋_GB2312"/>
                <w:color w:val="000000"/>
                <w:kern w:val="0"/>
                <w:sz w:val="18"/>
                <w:szCs w:val="18"/>
              </w:rPr>
            </w:pPr>
            <w:r>
              <w:rPr>
                <w:rFonts w:eastAsia="仿宋_GB2312"/>
                <w:color w:val="000000"/>
                <w:kern w:val="0"/>
                <w:sz w:val="18"/>
                <w:szCs w:val="18"/>
              </w:rPr>
              <w:t>立项依据</w:t>
            </w:r>
          </w:p>
          <w:p w14:paraId="747C5A56">
            <w:pPr>
              <w:widowControl/>
              <w:spacing w:line="0" w:lineRule="atLeast"/>
              <w:jc w:val="center"/>
              <w:rPr>
                <w:rFonts w:eastAsia="仿宋_GB2312"/>
                <w:color w:val="000000"/>
                <w:kern w:val="0"/>
                <w:sz w:val="18"/>
                <w:szCs w:val="18"/>
              </w:rPr>
            </w:pPr>
            <w:r>
              <w:rPr>
                <w:rFonts w:eastAsia="仿宋_GB2312"/>
                <w:color w:val="000000"/>
                <w:kern w:val="0"/>
                <w:sz w:val="18"/>
                <w:szCs w:val="18"/>
              </w:rPr>
              <w:t>充分性</w:t>
            </w:r>
          </w:p>
        </w:tc>
        <w:tc>
          <w:tcPr>
            <w:tcW w:w="1726" w:type="dxa"/>
            <w:shd w:val="clear" w:color="auto" w:fill="FFFFFF"/>
            <w:vAlign w:val="center"/>
          </w:tcPr>
          <w:p w14:paraId="34502653">
            <w:pPr>
              <w:widowControl/>
              <w:spacing w:line="0" w:lineRule="atLeas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284C3193">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①项目立项是否符合国家法律法规、国民经济发展规划和相关政策；</w:t>
            </w:r>
            <w:r>
              <w:rPr>
                <w:rFonts w:eastAsia="仿宋_GB2312"/>
                <w:color w:val="000000"/>
                <w:kern w:val="0"/>
                <w:sz w:val="18"/>
                <w:szCs w:val="18"/>
              </w:rPr>
              <w:br w:type="textWrapping"/>
            </w:r>
            <w:r>
              <w:rPr>
                <w:rFonts w:eastAsia="仿宋_GB2312"/>
                <w:color w:val="000000"/>
                <w:kern w:val="0"/>
                <w:sz w:val="18"/>
                <w:szCs w:val="18"/>
              </w:rPr>
              <w:t>②项目立项是否符合行业发展规划和政策要求；</w:t>
            </w:r>
            <w:r>
              <w:rPr>
                <w:rFonts w:eastAsia="仿宋_GB2312"/>
                <w:color w:val="000000"/>
                <w:kern w:val="0"/>
                <w:sz w:val="18"/>
                <w:szCs w:val="18"/>
              </w:rPr>
              <w:br w:type="textWrapping"/>
            </w:r>
            <w:r>
              <w:rPr>
                <w:rFonts w:eastAsia="仿宋_GB2312"/>
                <w:color w:val="000000"/>
                <w:kern w:val="0"/>
                <w:sz w:val="18"/>
                <w:szCs w:val="18"/>
              </w:rPr>
              <w:t>③项目立项是否与部门职责范围相符，属于部门履职所需；</w:t>
            </w:r>
            <w:r>
              <w:rPr>
                <w:rFonts w:eastAsia="仿宋_GB2312"/>
                <w:color w:val="000000"/>
                <w:kern w:val="0"/>
                <w:sz w:val="18"/>
                <w:szCs w:val="18"/>
              </w:rPr>
              <w:br w:type="textWrapping"/>
            </w:r>
            <w:r>
              <w:rPr>
                <w:rFonts w:eastAsia="仿宋_GB2312"/>
                <w:color w:val="000000"/>
                <w:kern w:val="0"/>
                <w:sz w:val="18"/>
                <w:szCs w:val="18"/>
              </w:rPr>
              <w:t>④项目是否属于公共财政支持范围，是否符合中央、地方事权支出责任划分原则；</w:t>
            </w:r>
            <w:r>
              <w:rPr>
                <w:rFonts w:eastAsia="仿宋_GB2312"/>
                <w:color w:val="000000"/>
                <w:kern w:val="0"/>
                <w:sz w:val="18"/>
                <w:szCs w:val="18"/>
              </w:rPr>
              <w:br w:type="textWrapping"/>
            </w:r>
            <w:r>
              <w:rPr>
                <w:rFonts w:eastAsia="仿宋_GB2312"/>
                <w:color w:val="000000"/>
                <w:kern w:val="0"/>
                <w:sz w:val="18"/>
                <w:szCs w:val="18"/>
              </w:rPr>
              <w:t>⑤项目是否与相关部门同类项目或部门内部相关项目重复。</w:t>
            </w:r>
          </w:p>
        </w:tc>
        <w:tc>
          <w:tcPr>
            <w:tcW w:w="1300" w:type="dxa"/>
            <w:shd w:val="clear" w:color="auto" w:fill="FFFFFF"/>
            <w:vAlign w:val="center"/>
          </w:tcPr>
          <w:p w14:paraId="29CF4359">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6" w:type="dxa"/>
            <w:shd w:val="clear" w:color="auto" w:fill="FFFFFF"/>
            <w:vAlign w:val="center"/>
          </w:tcPr>
          <w:p w14:paraId="2692DB0E">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14:paraId="3B0370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14:paraId="06770395">
            <w:pPr>
              <w:spacing w:line="0" w:lineRule="atLeast"/>
              <w:jc w:val="center"/>
              <w:rPr>
                <w:rFonts w:eastAsia="仿宋_GB2312"/>
                <w:color w:val="000000"/>
                <w:kern w:val="0"/>
                <w:sz w:val="18"/>
                <w:szCs w:val="18"/>
              </w:rPr>
            </w:pPr>
          </w:p>
        </w:tc>
        <w:tc>
          <w:tcPr>
            <w:tcW w:w="1000" w:type="dxa"/>
            <w:vMerge w:val="continue"/>
            <w:shd w:val="clear" w:color="auto" w:fill="FFFFFF"/>
            <w:vAlign w:val="center"/>
          </w:tcPr>
          <w:p w14:paraId="30823452">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47309470">
            <w:pPr>
              <w:widowControl/>
              <w:spacing w:line="0" w:lineRule="atLeast"/>
              <w:jc w:val="center"/>
              <w:rPr>
                <w:rFonts w:eastAsia="仿宋_GB2312"/>
                <w:color w:val="000000"/>
                <w:kern w:val="0"/>
                <w:sz w:val="18"/>
                <w:szCs w:val="18"/>
              </w:rPr>
            </w:pPr>
            <w:r>
              <w:rPr>
                <w:rFonts w:eastAsia="仿宋_GB2312"/>
                <w:color w:val="000000"/>
                <w:kern w:val="0"/>
                <w:sz w:val="18"/>
                <w:szCs w:val="18"/>
              </w:rPr>
              <w:t>立项程序</w:t>
            </w:r>
          </w:p>
          <w:p w14:paraId="330A77A9">
            <w:pPr>
              <w:widowControl/>
              <w:spacing w:line="0" w:lineRule="atLeast"/>
              <w:jc w:val="center"/>
              <w:rPr>
                <w:rFonts w:eastAsia="仿宋_GB2312"/>
                <w:color w:val="000000"/>
                <w:kern w:val="0"/>
                <w:sz w:val="18"/>
                <w:szCs w:val="18"/>
              </w:rPr>
            </w:pPr>
            <w:r>
              <w:rPr>
                <w:rFonts w:eastAsia="仿宋_GB2312"/>
                <w:color w:val="000000"/>
                <w:kern w:val="0"/>
                <w:sz w:val="18"/>
                <w:szCs w:val="18"/>
              </w:rPr>
              <w:t>规范性</w:t>
            </w:r>
          </w:p>
        </w:tc>
        <w:tc>
          <w:tcPr>
            <w:tcW w:w="1726" w:type="dxa"/>
            <w:shd w:val="clear" w:color="auto" w:fill="FFFFFF"/>
            <w:vAlign w:val="center"/>
          </w:tcPr>
          <w:p w14:paraId="63752822">
            <w:pPr>
              <w:widowControl/>
              <w:spacing w:line="0" w:lineRule="atLeas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5216" w:type="dxa"/>
            <w:shd w:val="clear" w:color="auto" w:fill="FFFFFF"/>
            <w:vAlign w:val="center"/>
          </w:tcPr>
          <w:p w14:paraId="446DF6A9">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①项目是否按照规定的程序申请设立；</w:t>
            </w:r>
            <w:r>
              <w:rPr>
                <w:rFonts w:eastAsia="仿宋_GB2312"/>
                <w:color w:val="000000"/>
                <w:kern w:val="0"/>
                <w:sz w:val="18"/>
                <w:szCs w:val="18"/>
              </w:rPr>
              <w:br w:type="textWrapping"/>
            </w:r>
            <w:r>
              <w:rPr>
                <w:rFonts w:eastAsia="仿宋_GB2312"/>
                <w:color w:val="000000"/>
                <w:kern w:val="0"/>
                <w:sz w:val="18"/>
                <w:szCs w:val="18"/>
              </w:rPr>
              <w:t>②审批文件、材料是否符合相关要求；</w:t>
            </w:r>
            <w:r>
              <w:rPr>
                <w:rFonts w:eastAsia="仿宋_GB2312"/>
                <w:color w:val="000000"/>
                <w:kern w:val="0"/>
                <w:sz w:val="18"/>
                <w:szCs w:val="18"/>
              </w:rPr>
              <w:br w:type="textWrapping"/>
            </w:r>
            <w:r>
              <w:rPr>
                <w:rFonts w:eastAsia="仿宋_GB2312"/>
                <w:color w:val="000000"/>
                <w:kern w:val="0"/>
                <w:sz w:val="18"/>
                <w:szCs w:val="18"/>
              </w:rPr>
              <w:t>③事前是否已经过必要的可行性研究、专家论证、风险评估、绩效评估、集体决策。</w:t>
            </w:r>
          </w:p>
        </w:tc>
        <w:tc>
          <w:tcPr>
            <w:tcW w:w="1300" w:type="dxa"/>
            <w:shd w:val="clear" w:color="auto" w:fill="FFFFFF"/>
            <w:vAlign w:val="center"/>
          </w:tcPr>
          <w:p w14:paraId="0FCFF783">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6" w:type="dxa"/>
            <w:shd w:val="clear" w:color="auto" w:fill="FFFFFF"/>
            <w:vAlign w:val="center"/>
          </w:tcPr>
          <w:p w14:paraId="55F5FC7C">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14:paraId="7EE6F7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14:paraId="6D116B61">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3BE7A62B">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　</w:t>
            </w:r>
          </w:p>
        </w:tc>
        <w:tc>
          <w:tcPr>
            <w:tcW w:w="1071" w:type="dxa"/>
            <w:shd w:val="clear" w:color="auto" w:fill="FFFFFF"/>
            <w:vAlign w:val="center"/>
          </w:tcPr>
          <w:p w14:paraId="78B1DC26">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w:t>
            </w:r>
          </w:p>
          <w:p w14:paraId="24C1C4AA">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6" w:type="dxa"/>
            <w:shd w:val="clear" w:color="000000" w:fill="FFFFFF"/>
            <w:vAlign w:val="center"/>
          </w:tcPr>
          <w:p w14:paraId="5DE0FD10">
            <w:pPr>
              <w:widowControl/>
              <w:spacing w:line="0" w:lineRule="atLeas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057966C8">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ype="textWrapping"/>
            </w:r>
            <w:r>
              <w:rPr>
                <w:rFonts w:eastAsia="仿宋_GB2312"/>
                <w:color w:val="000000"/>
                <w:kern w:val="0"/>
                <w:sz w:val="18"/>
                <w:szCs w:val="18"/>
              </w:rPr>
              <w:t>①项目是否有绩效目标；</w:t>
            </w:r>
            <w:r>
              <w:rPr>
                <w:rFonts w:eastAsia="仿宋_GB2312"/>
                <w:color w:val="000000"/>
                <w:kern w:val="0"/>
                <w:sz w:val="18"/>
                <w:szCs w:val="18"/>
              </w:rPr>
              <w:br w:type="textWrapping"/>
            </w:r>
            <w:r>
              <w:rPr>
                <w:rFonts w:eastAsia="仿宋_GB2312"/>
                <w:color w:val="000000"/>
                <w:kern w:val="0"/>
                <w:sz w:val="18"/>
                <w:szCs w:val="18"/>
              </w:rPr>
              <w:t>②项目绩效目标与实际工作内容是否具有相关性；</w:t>
            </w:r>
            <w:r>
              <w:rPr>
                <w:rFonts w:eastAsia="仿宋_GB2312"/>
                <w:color w:val="000000"/>
                <w:kern w:val="0"/>
                <w:sz w:val="18"/>
                <w:szCs w:val="18"/>
              </w:rPr>
              <w:br w:type="textWrapping"/>
            </w:r>
            <w:r>
              <w:rPr>
                <w:rFonts w:eastAsia="仿宋_GB2312"/>
                <w:color w:val="000000"/>
                <w:kern w:val="0"/>
                <w:sz w:val="18"/>
                <w:szCs w:val="18"/>
              </w:rPr>
              <w:t>③项目预期产出效益和效果是否符合正常的业绩水平；</w:t>
            </w:r>
          </w:p>
          <w:p w14:paraId="03ADF909">
            <w:pPr>
              <w:widowControl/>
              <w:spacing w:line="0" w:lineRule="atLeast"/>
              <w:jc w:val="left"/>
              <w:rPr>
                <w:rFonts w:eastAsia="仿宋_GB2312"/>
                <w:color w:val="000000"/>
                <w:kern w:val="0"/>
                <w:sz w:val="18"/>
                <w:szCs w:val="18"/>
              </w:rPr>
            </w:pPr>
            <w:r>
              <w:rPr>
                <w:rFonts w:eastAsia="仿宋_GB2312"/>
                <w:color w:val="000000"/>
                <w:kern w:val="0"/>
                <w:sz w:val="18"/>
                <w:szCs w:val="18"/>
              </w:rPr>
              <w:t>④是否与预算确定的项目投资额或资金量相匹配。</w:t>
            </w:r>
          </w:p>
        </w:tc>
        <w:tc>
          <w:tcPr>
            <w:tcW w:w="1300" w:type="dxa"/>
            <w:shd w:val="clear" w:color="000000" w:fill="FFFFFF"/>
            <w:vAlign w:val="center"/>
          </w:tcPr>
          <w:p w14:paraId="1FBEFA3D">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6" w:type="dxa"/>
            <w:shd w:val="clear" w:color="000000" w:fill="FFFFFF"/>
            <w:vAlign w:val="center"/>
          </w:tcPr>
          <w:p w14:paraId="1E0DCA25">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14:paraId="4E5874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64" w:hRule="atLeast"/>
          <w:jc w:val="center"/>
        </w:trPr>
        <w:tc>
          <w:tcPr>
            <w:tcW w:w="1004" w:type="dxa"/>
            <w:vMerge w:val="continue"/>
            <w:shd w:val="clear" w:color="auto" w:fill="FFFFFF"/>
            <w:vAlign w:val="center"/>
          </w:tcPr>
          <w:p w14:paraId="75347656">
            <w:pPr>
              <w:widowControl/>
              <w:spacing w:line="0" w:lineRule="atLeast"/>
              <w:jc w:val="center"/>
              <w:rPr>
                <w:rFonts w:eastAsia="仿宋_GB2312"/>
                <w:color w:val="000000"/>
                <w:kern w:val="0"/>
                <w:sz w:val="18"/>
                <w:szCs w:val="18"/>
              </w:rPr>
            </w:pPr>
          </w:p>
        </w:tc>
        <w:tc>
          <w:tcPr>
            <w:tcW w:w="1000" w:type="dxa"/>
            <w:vMerge w:val="continue"/>
            <w:shd w:val="clear" w:color="auto" w:fill="FFFFFF"/>
            <w:vAlign w:val="center"/>
          </w:tcPr>
          <w:p w14:paraId="70DBE1E3">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7BE66749">
            <w:pPr>
              <w:widowControl/>
              <w:spacing w:line="0" w:lineRule="atLeast"/>
              <w:jc w:val="center"/>
              <w:rPr>
                <w:rFonts w:eastAsia="仿宋_GB2312"/>
                <w:color w:val="000000"/>
                <w:kern w:val="0"/>
                <w:sz w:val="18"/>
                <w:szCs w:val="18"/>
              </w:rPr>
            </w:pPr>
            <w:r>
              <w:rPr>
                <w:rFonts w:eastAsia="仿宋_GB2312"/>
                <w:color w:val="000000"/>
                <w:kern w:val="0"/>
                <w:sz w:val="18"/>
                <w:szCs w:val="18"/>
              </w:rPr>
              <w:t>绩效指标</w:t>
            </w:r>
          </w:p>
          <w:p w14:paraId="768CA0A9">
            <w:pPr>
              <w:widowControl/>
              <w:spacing w:line="0" w:lineRule="atLeast"/>
              <w:jc w:val="center"/>
              <w:rPr>
                <w:rFonts w:eastAsia="仿宋_GB2312"/>
                <w:color w:val="000000"/>
                <w:kern w:val="0"/>
                <w:sz w:val="18"/>
                <w:szCs w:val="18"/>
              </w:rPr>
            </w:pPr>
            <w:r>
              <w:rPr>
                <w:rFonts w:eastAsia="仿宋_GB2312"/>
                <w:color w:val="000000"/>
                <w:kern w:val="0"/>
                <w:sz w:val="18"/>
                <w:szCs w:val="18"/>
              </w:rPr>
              <w:t>明确性</w:t>
            </w:r>
          </w:p>
        </w:tc>
        <w:tc>
          <w:tcPr>
            <w:tcW w:w="1726" w:type="dxa"/>
            <w:shd w:val="clear" w:color="000000" w:fill="FFFFFF"/>
            <w:vAlign w:val="center"/>
          </w:tcPr>
          <w:p w14:paraId="791B2239">
            <w:pPr>
              <w:widowControl/>
              <w:spacing w:line="0" w:lineRule="atLeas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0E014684">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①是否将项目绩效目标细化分解为具体的绩效指标；</w:t>
            </w:r>
            <w:r>
              <w:rPr>
                <w:rFonts w:eastAsia="仿宋_GB2312"/>
                <w:color w:val="000000"/>
                <w:kern w:val="0"/>
                <w:sz w:val="18"/>
                <w:szCs w:val="18"/>
              </w:rPr>
              <w:br w:type="textWrapping"/>
            </w:r>
            <w:r>
              <w:rPr>
                <w:rFonts w:eastAsia="仿宋_GB2312"/>
                <w:color w:val="000000"/>
                <w:kern w:val="0"/>
                <w:sz w:val="18"/>
                <w:szCs w:val="18"/>
              </w:rPr>
              <w:t>②是否通过清晰、可衡量的指标值予以体现；</w:t>
            </w:r>
            <w:r>
              <w:rPr>
                <w:rFonts w:eastAsia="仿宋_GB2312"/>
                <w:color w:val="000000"/>
                <w:kern w:val="0"/>
                <w:sz w:val="18"/>
                <w:szCs w:val="18"/>
              </w:rPr>
              <w:br w:type="textWrapping"/>
            </w:r>
            <w:r>
              <w:rPr>
                <w:rFonts w:eastAsia="仿宋_GB2312"/>
                <w:color w:val="000000"/>
                <w:kern w:val="0"/>
                <w:sz w:val="18"/>
                <w:szCs w:val="18"/>
              </w:rPr>
              <w:t>③是否与项目目标任务数或计划数相对应。</w:t>
            </w:r>
            <w:r>
              <w:rPr>
                <w:rFonts w:eastAsia="仿宋_GB2312"/>
                <w:color w:val="000000"/>
                <w:kern w:val="0"/>
                <w:sz w:val="18"/>
                <w:szCs w:val="18"/>
              </w:rPr>
              <w:br w:type="textWrapping"/>
            </w:r>
          </w:p>
        </w:tc>
        <w:tc>
          <w:tcPr>
            <w:tcW w:w="1300" w:type="dxa"/>
            <w:shd w:val="clear" w:color="000000" w:fill="FFFFFF"/>
            <w:vAlign w:val="center"/>
          </w:tcPr>
          <w:p w14:paraId="0D724BC9">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6" w:type="dxa"/>
            <w:shd w:val="clear" w:color="000000" w:fill="FFFFFF"/>
            <w:vAlign w:val="center"/>
          </w:tcPr>
          <w:p w14:paraId="38ACCEFF">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14:paraId="12F55A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42" w:hRule="atLeast"/>
          <w:jc w:val="center"/>
        </w:trPr>
        <w:tc>
          <w:tcPr>
            <w:tcW w:w="1004" w:type="dxa"/>
            <w:vMerge w:val="continue"/>
            <w:shd w:val="clear" w:color="auto" w:fill="FFFFFF"/>
            <w:vAlign w:val="center"/>
          </w:tcPr>
          <w:p w14:paraId="41E582E3">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0D6B4D81">
            <w:pPr>
              <w:widowControl/>
              <w:spacing w:line="0" w:lineRule="atLeast"/>
              <w:jc w:val="center"/>
              <w:rPr>
                <w:rFonts w:eastAsia="仿宋_GB2312"/>
                <w:color w:val="000000"/>
                <w:kern w:val="0"/>
                <w:sz w:val="18"/>
                <w:szCs w:val="18"/>
              </w:rPr>
            </w:pPr>
            <w:r>
              <w:rPr>
                <w:rFonts w:eastAsia="仿宋_GB2312"/>
                <w:color w:val="000000"/>
                <w:kern w:val="0"/>
                <w:sz w:val="18"/>
                <w:szCs w:val="18"/>
              </w:rPr>
              <w:t>资金投入</w:t>
            </w:r>
          </w:p>
          <w:p w14:paraId="40C367CC">
            <w:pPr>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1071" w:type="dxa"/>
            <w:shd w:val="clear" w:color="auto" w:fill="FFFFFF"/>
            <w:vAlign w:val="center"/>
          </w:tcPr>
          <w:p w14:paraId="43A61A9C">
            <w:pPr>
              <w:widowControl/>
              <w:spacing w:line="0" w:lineRule="atLeast"/>
              <w:jc w:val="center"/>
              <w:rPr>
                <w:rFonts w:eastAsia="仿宋_GB2312"/>
                <w:color w:val="000000"/>
                <w:kern w:val="0"/>
                <w:sz w:val="18"/>
                <w:szCs w:val="18"/>
              </w:rPr>
            </w:pPr>
            <w:r>
              <w:rPr>
                <w:rFonts w:eastAsia="仿宋_GB2312"/>
                <w:color w:val="000000"/>
                <w:kern w:val="0"/>
                <w:sz w:val="18"/>
                <w:szCs w:val="18"/>
              </w:rPr>
              <w:t>预算编制</w:t>
            </w:r>
          </w:p>
          <w:p w14:paraId="7326E43A">
            <w:pPr>
              <w:widowControl/>
              <w:spacing w:line="0" w:lineRule="atLeast"/>
              <w:jc w:val="center"/>
              <w:rPr>
                <w:rFonts w:eastAsia="仿宋_GB2312"/>
                <w:color w:val="000000"/>
                <w:kern w:val="0"/>
                <w:sz w:val="18"/>
                <w:szCs w:val="18"/>
              </w:rPr>
            </w:pPr>
            <w:r>
              <w:rPr>
                <w:rFonts w:eastAsia="仿宋_GB2312"/>
                <w:color w:val="000000"/>
                <w:kern w:val="0"/>
                <w:sz w:val="18"/>
                <w:szCs w:val="18"/>
              </w:rPr>
              <w:t>科学性</w:t>
            </w:r>
          </w:p>
        </w:tc>
        <w:tc>
          <w:tcPr>
            <w:tcW w:w="1726" w:type="dxa"/>
            <w:shd w:val="clear" w:color="auto" w:fill="FFFFFF"/>
            <w:vAlign w:val="center"/>
          </w:tcPr>
          <w:p w14:paraId="4C1A50FA">
            <w:pPr>
              <w:widowControl/>
              <w:spacing w:line="0" w:lineRule="atLeas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2445B6B1">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①预算编制是否经过科学论证；</w:t>
            </w:r>
            <w:r>
              <w:rPr>
                <w:rFonts w:eastAsia="仿宋_GB2312"/>
                <w:color w:val="000000"/>
                <w:kern w:val="0"/>
                <w:sz w:val="18"/>
                <w:szCs w:val="18"/>
              </w:rPr>
              <w:br w:type="textWrapping"/>
            </w:r>
            <w:r>
              <w:rPr>
                <w:rFonts w:eastAsia="仿宋_GB2312"/>
                <w:color w:val="000000"/>
                <w:kern w:val="0"/>
                <w:sz w:val="18"/>
                <w:szCs w:val="18"/>
              </w:rPr>
              <w:t>②预算内容与项目内容是否匹配；</w:t>
            </w:r>
            <w:r>
              <w:rPr>
                <w:rFonts w:eastAsia="仿宋_GB2312"/>
                <w:color w:val="000000"/>
                <w:kern w:val="0"/>
                <w:sz w:val="18"/>
                <w:szCs w:val="18"/>
              </w:rPr>
              <w:br w:type="textWrapping"/>
            </w:r>
            <w:r>
              <w:rPr>
                <w:rFonts w:eastAsia="仿宋_GB2312"/>
                <w:color w:val="000000"/>
                <w:kern w:val="0"/>
                <w:sz w:val="18"/>
                <w:szCs w:val="18"/>
              </w:rPr>
              <w:t>③预算额度测算依据是否充分，是否按照标准编制；</w:t>
            </w:r>
            <w:r>
              <w:rPr>
                <w:rFonts w:eastAsia="仿宋_GB2312"/>
                <w:color w:val="000000"/>
                <w:kern w:val="0"/>
                <w:sz w:val="18"/>
                <w:szCs w:val="18"/>
              </w:rPr>
              <w:br w:type="textWrapping"/>
            </w:r>
            <w:r>
              <w:rPr>
                <w:rFonts w:eastAsia="仿宋_GB2312"/>
                <w:color w:val="000000"/>
                <w:kern w:val="0"/>
                <w:sz w:val="18"/>
                <w:szCs w:val="18"/>
              </w:rPr>
              <w:t>④预算确定的项目投资额或资金量是否与工作任务相匹配。</w:t>
            </w:r>
          </w:p>
        </w:tc>
        <w:tc>
          <w:tcPr>
            <w:tcW w:w="1300" w:type="dxa"/>
            <w:shd w:val="clear" w:color="auto" w:fill="FFFFFF"/>
            <w:vAlign w:val="center"/>
          </w:tcPr>
          <w:p w14:paraId="14933E44">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6" w:type="dxa"/>
            <w:shd w:val="clear" w:color="auto" w:fill="FFFFFF"/>
            <w:vAlign w:val="center"/>
          </w:tcPr>
          <w:p w14:paraId="7B0BA2CA">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5744FE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06" w:hRule="atLeast"/>
          <w:jc w:val="center"/>
        </w:trPr>
        <w:tc>
          <w:tcPr>
            <w:tcW w:w="1004" w:type="dxa"/>
            <w:vMerge w:val="continue"/>
            <w:shd w:val="clear" w:color="auto" w:fill="FFFFFF"/>
            <w:vAlign w:val="center"/>
          </w:tcPr>
          <w:p w14:paraId="36D6A591">
            <w:pPr>
              <w:widowControl/>
              <w:spacing w:line="0" w:lineRule="atLeast"/>
              <w:jc w:val="center"/>
              <w:rPr>
                <w:rFonts w:eastAsia="仿宋_GB2312"/>
                <w:color w:val="000000"/>
                <w:kern w:val="0"/>
                <w:sz w:val="18"/>
                <w:szCs w:val="18"/>
              </w:rPr>
            </w:pPr>
          </w:p>
        </w:tc>
        <w:tc>
          <w:tcPr>
            <w:tcW w:w="1000" w:type="dxa"/>
            <w:vMerge w:val="continue"/>
            <w:shd w:val="clear" w:color="auto" w:fill="FFFFFF"/>
            <w:vAlign w:val="center"/>
          </w:tcPr>
          <w:p w14:paraId="0B401F46">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47C9F2A1">
            <w:pPr>
              <w:widowControl/>
              <w:spacing w:line="0" w:lineRule="atLeast"/>
              <w:jc w:val="center"/>
              <w:rPr>
                <w:rFonts w:eastAsia="仿宋_GB2312"/>
                <w:color w:val="000000"/>
                <w:kern w:val="0"/>
                <w:sz w:val="18"/>
                <w:szCs w:val="18"/>
              </w:rPr>
            </w:pPr>
            <w:r>
              <w:rPr>
                <w:rFonts w:eastAsia="仿宋_GB2312"/>
                <w:color w:val="000000"/>
                <w:kern w:val="0"/>
                <w:sz w:val="18"/>
                <w:szCs w:val="18"/>
              </w:rPr>
              <w:t>资金分配</w:t>
            </w:r>
          </w:p>
          <w:p w14:paraId="017B8E45">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6" w:type="dxa"/>
            <w:shd w:val="clear" w:color="auto" w:fill="FFFFFF"/>
            <w:vAlign w:val="center"/>
          </w:tcPr>
          <w:p w14:paraId="434C2B9A">
            <w:pPr>
              <w:widowControl/>
              <w:spacing w:line="0" w:lineRule="atLeas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13CEE003">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①预算资金分配依据是否充分；</w:t>
            </w:r>
            <w:r>
              <w:rPr>
                <w:rFonts w:eastAsia="仿宋_GB2312"/>
                <w:color w:val="000000"/>
                <w:kern w:val="0"/>
                <w:sz w:val="18"/>
                <w:szCs w:val="18"/>
              </w:rPr>
              <w:br w:type="textWrapping"/>
            </w:r>
            <w:r>
              <w:rPr>
                <w:rFonts w:eastAsia="仿宋_GB2312"/>
                <w:color w:val="000000"/>
                <w:kern w:val="0"/>
                <w:sz w:val="18"/>
                <w:szCs w:val="18"/>
              </w:rPr>
              <w:t>②资金分配额度是否合理，与项目单位或地方实际是否相适应。</w:t>
            </w:r>
          </w:p>
        </w:tc>
        <w:tc>
          <w:tcPr>
            <w:tcW w:w="1300" w:type="dxa"/>
            <w:shd w:val="clear" w:color="auto" w:fill="FFFFFF"/>
            <w:vAlign w:val="center"/>
          </w:tcPr>
          <w:p w14:paraId="62B200E6">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6" w:type="dxa"/>
            <w:shd w:val="clear" w:color="auto" w:fill="FFFFFF"/>
            <w:vAlign w:val="center"/>
          </w:tcPr>
          <w:p w14:paraId="02AA415E">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6F8522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15" w:hRule="atLeast"/>
          <w:jc w:val="center"/>
        </w:trPr>
        <w:tc>
          <w:tcPr>
            <w:tcW w:w="1004" w:type="dxa"/>
            <w:vMerge w:val="restart"/>
            <w:shd w:val="clear" w:color="auto" w:fill="FFFFFF"/>
            <w:vAlign w:val="center"/>
          </w:tcPr>
          <w:p w14:paraId="3E814E08">
            <w:pPr>
              <w:spacing w:line="0" w:lineRule="atLeast"/>
              <w:jc w:val="center"/>
              <w:rPr>
                <w:rFonts w:eastAsia="仿宋_GB2312"/>
                <w:color w:val="000000"/>
                <w:kern w:val="0"/>
                <w:sz w:val="18"/>
                <w:szCs w:val="18"/>
              </w:rPr>
            </w:pPr>
          </w:p>
          <w:p w14:paraId="701BEDB0">
            <w:pPr>
              <w:spacing w:line="0" w:lineRule="atLeast"/>
              <w:jc w:val="center"/>
              <w:rPr>
                <w:rFonts w:eastAsia="仿宋_GB2312"/>
                <w:color w:val="000000"/>
                <w:kern w:val="0"/>
                <w:sz w:val="18"/>
                <w:szCs w:val="18"/>
              </w:rPr>
            </w:pPr>
          </w:p>
          <w:p w14:paraId="2FCC9348">
            <w:pPr>
              <w:spacing w:line="0" w:lineRule="atLeast"/>
              <w:jc w:val="center"/>
              <w:rPr>
                <w:rFonts w:eastAsia="仿宋_GB2312"/>
                <w:color w:val="000000"/>
                <w:kern w:val="0"/>
                <w:sz w:val="18"/>
                <w:szCs w:val="18"/>
              </w:rPr>
            </w:pPr>
          </w:p>
          <w:p w14:paraId="33F0DD46">
            <w:pPr>
              <w:spacing w:line="0" w:lineRule="atLeast"/>
              <w:jc w:val="center"/>
              <w:rPr>
                <w:rFonts w:eastAsia="仿宋_GB2312"/>
                <w:color w:val="000000"/>
                <w:kern w:val="0"/>
                <w:sz w:val="18"/>
                <w:szCs w:val="18"/>
              </w:rPr>
            </w:pPr>
          </w:p>
          <w:p w14:paraId="50BC8CE6">
            <w:pPr>
              <w:spacing w:line="0" w:lineRule="atLeast"/>
              <w:jc w:val="center"/>
              <w:rPr>
                <w:rFonts w:eastAsia="仿宋_GB2312"/>
                <w:color w:val="000000"/>
                <w:kern w:val="0"/>
                <w:sz w:val="18"/>
                <w:szCs w:val="18"/>
              </w:rPr>
            </w:pPr>
          </w:p>
          <w:p w14:paraId="42E22162">
            <w:pPr>
              <w:spacing w:line="0" w:lineRule="atLeast"/>
              <w:jc w:val="center"/>
              <w:rPr>
                <w:rFonts w:eastAsia="仿宋_GB2312"/>
                <w:color w:val="000000"/>
                <w:kern w:val="0"/>
                <w:sz w:val="18"/>
                <w:szCs w:val="18"/>
              </w:rPr>
            </w:pPr>
          </w:p>
          <w:p w14:paraId="2C708842">
            <w:pPr>
              <w:spacing w:line="0" w:lineRule="atLeast"/>
              <w:jc w:val="center"/>
              <w:rPr>
                <w:rFonts w:eastAsia="仿宋_GB2312"/>
                <w:color w:val="000000"/>
                <w:kern w:val="0"/>
                <w:sz w:val="18"/>
                <w:szCs w:val="18"/>
              </w:rPr>
            </w:pPr>
          </w:p>
          <w:p w14:paraId="6EAF337F">
            <w:pPr>
              <w:spacing w:line="0" w:lineRule="atLeast"/>
              <w:jc w:val="center"/>
              <w:rPr>
                <w:rFonts w:eastAsia="仿宋_GB2312"/>
                <w:color w:val="000000"/>
                <w:kern w:val="0"/>
                <w:sz w:val="18"/>
                <w:szCs w:val="18"/>
              </w:rPr>
            </w:pPr>
          </w:p>
          <w:p w14:paraId="18930D81">
            <w:pPr>
              <w:spacing w:line="0" w:lineRule="atLeast"/>
              <w:jc w:val="center"/>
              <w:rPr>
                <w:rFonts w:eastAsia="仿宋_GB2312"/>
                <w:color w:val="000000"/>
                <w:kern w:val="0"/>
                <w:sz w:val="18"/>
                <w:szCs w:val="18"/>
              </w:rPr>
            </w:pPr>
          </w:p>
          <w:p w14:paraId="7F1C956D">
            <w:pPr>
              <w:spacing w:line="0" w:lineRule="atLeast"/>
              <w:jc w:val="center"/>
              <w:rPr>
                <w:rFonts w:eastAsia="仿宋_GB2312"/>
                <w:color w:val="000000"/>
                <w:kern w:val="0"/>
                <w:sz w:val="18"/>
                <w:szCs w:val="18"/>
              </w:rPr>
            </w:pPr>
          </w:p>
          <w:p w14:paraId="011D7797">
            <w:pPr>
              <w:spacing w:line="0" w:lineRule="atLeast"/>
              <w:jc w:val="center"/>
              <w:rPr>
                <w:rFonts w:eastAsia="仿宋_GB2312"/>
                <w:color w:val="000000"/>
                <w:kern w:val="0"/>
                <w:sz w:val="18"/>
                <w:szCs w:val="18"/>
              </w:rPr>
            </w:pPr>
          </w:p>
          <w:p w14:paraId="31475718">
            <w:pPr>
              <w:spacing w:line="0" w:lineRule="atLeast"/>
              <w:jc w:val="center"/>
              <w:rPr>
                <w:rFonts w:eastAsia="仿宋_GB2312"/>
                <w:color w:val="000000"/>
                <w:kern w:val="0"/>
                <w:sz w:val="18"/>
                <w:szCs w:val="18"/>
              </w:rPr>
            </w:pPr>
          </w:p>
          <w:p w14:paraId="7A2A96F8">
            <w:pPr>
              <w:spacing w:line="0" w:lineRule="atLeast"/>
              <w:jc w:val="center"/>
              <w:rPr>
                <w:rFonts w:eastAsia="仿宋_GB2312"/>
                <w:color w:val="000000"/>
                <w:kern w:val="0"/>
                <w:sz w:val="18"/>
                <w:szCs w:val="18"/>
              </w:rPr>
            </w:pPr>
          </w:p>
          <w:p w14:paraId="46C0A733">
            <w:pPr>
              <w:spacing w:line="0" w:lineRule="atLeast"/>
              <w:jc w:val="center"/>
              <w:rPr>
                <w:rFonts w:eastAsia="仿宋_GB2312"/>
                <w:color w:val="000000"/>
                <w:kern w:val="0"/>
                <w:sz w:val="18"/>
                <w:szCs w:val="18"/>
              </w:rPr>
            </w:pPr>
          </w:p>
          <w:p w14:paraId="659D71C0">
            <w:pPr>
              <w:spacing w:line="0" w:lineRule="atLeast"/>
              <w:jc w:val="center"/>
              <w:rPr>
                <w:rFonts w:eastAsia="仿宋_GB2312"/>
                <w:color w:val="000000"/>
                <w:kern w:val="0"/>
                <w:sz w:val="18"/>
                <w:szCs w:val="18"/>
              </w:rPr>
            </w:pPr>
          </w:p>
          <w:p w14:paraId="58ACFCF3">
            <w:pPr>
              <w:spacing w:line="0" w:lineRule="atLeast"/>
              <w:jc w:val="center"/>
              <w:rPr>
                <w:rFonts w:eastAsia="仿宋_GB2312"/>
                <w:color w:val="000000"/>
                <w:kern w:val="0"/>
                <w:sz w:val="18"/>
                <w:szCs w:val="18"/>
              </w:rPr>
            </w:pPr>
            <w:r>
              <w:rPr>
                <w:rFonts w:eastAsia="仿宋_GB2312"/>
                <w:color w:val="000000"/>
                <w:kern w:val="0"/>
                <w:sz w:val="18"/>
                <w:szCs w:val="18"/>
              </w:rPr>
              <w:t>过程</w:t>
            </w:r>
          </w:p>
          <w:p w14:paraId="6EEB06FA">
            <w:pPr>
              <w:widowControl/>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1000" w:type="dxa"/>
            <w:vMerge w:val="restart"/>
            <w:shd w:val="clear" w:color="auto" w:fill="FFFFFF"/>
            <w:vAlign w:val="center"/>
          </w:tcPr>
          <w:p w14:paraId="4E1C3C99">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1071" w:type="dxa"/>
            <w:shd w:val="clear" w:color="auto" w:fill="FFFFFF"/>
            <w:vAlign w:val="center"/>
          </w:tcPr>
          <w:p w14:paraId="14AAB5B8">
            <w:pPr>
              <w:widowControl/>
              <w:spacing w:line="0" w:lineRule="atLeast"/>
              <w:jc w:val="center"/>
              <w:rPr>
                <w:rFonts w:eastAsia="仿宋_GB2312"/>
                <w:color w:val="000000"/>
                <w:kern w:val="0"/>
                <w:sz w:val="18"/>
                <w:szCs w:val="18"/>
              </w:rPr>
            </w:pPr>
            <w:r>
              <w:rPr>
                <w:rFonts w:eastAsia="仿宋_GB2312"/>
                <w:color w:val="000000"/>
                <w:kern w:val="0"/>
                <w:sz w:val="18"/>
                <w:szCs w:val="18"/>
              </w:rPr>
              <w:t>资金到位率</w:t>
            </w:r>
          </w:p>
        </w:tc>
        <w:tc>
          <w:tcPr>
            <w:tcW w:w="1726" w:type="dxa"/>
            <w:shd w:val="clear" w:color="000000" w:fill="FFFFFF"/>
            <w:vAlign w:val="center"/>
          </w:tcPr>
          <w:p w14:paraId="5ABE0F12">
            <w:pPr>
              <w:widowControl/>
              <w:spacing w:line="0" w:lineRule="atLeas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46824E78">
            <w:pPr>
              <w:widowControl/>
              <w:spacing w:line="0" w:lineRule="atLeast"/>
              <w:rPr>
                <w:rFonts w:eastAsia="仿宋_GB2312"/>
                <w:color w:val="000000"/>
                <w:kern w:val="0"/>
                <w:sz w:val="18"/>
                <w:szCs w:val="18"/>
              </w:rPr>
            </w:pPr>
            <w:r>
              <w:rPr>
                <w:rFonts w:eastAsia="仿宋_GB2312"/>
                <w:color w:val="000000"/>
                <w:kern w:val="0"/>
                <w:sz w:val="18"/>
                <w:szCs w:val="18"/>
              </w:rPr>
              <w:t>资金到位率=（实际到位资金/预算资金）×100%。</w:t>
            </w:r>
          </w:p>
          <w:p w14:paraId="2F5D6530">
            <w:pPr>
              <w:widowControl/>
              <w:spacing w:line="0" w:lineRule="atLeas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14:paraId="3B5F2FFF">
            <w:pPr>
              <w:widowControl/>
              <w:spacing w:line="0" w:lineRule="atLeast"/>
              <w:rPr>
                <w:rFonts w:eastAsia="仿宋_GB2312"/>
                <w:color w:val="000000"/>
                <w:kern w:val="0"/>
                <w:sz w:val="18"/>
                <w:szCs w:val="18"/>
              </w:rPr>
            </w:pPr>
            <w:r>
              <w:rPr>
                <w:rFonts w:eastAsia="仿宋_GB2312"/>
                <w:color w:val="000000"/>
                <w:kern w:val="0"/>
                <w:sz w:val="18"/>
                <w:szCs w:val="18"/>
              </w:rPr>
              <w:t>预算资金：一定时期（本年度或项目期）内预算安排到具体项目的资金。</w:t>
            </w:r>
          </w:p>
        </w:tc>
        <w:tc>
          <w:tcPr>
            <w:tcW w:w="1300" w:type="dxa"/>
            <w:shd w:val="clear" w:color="000000" w:fill="FFFFFF"/>
            <w:vAlign w:val="center"/>
          </w:tcPr>
          <w:p w14:paraId="2EA6AC7F">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6" w:type="dxa"/>
            <w:shd w:val="clear" w:color="000000" w:fill="FFFFFF"/>
            <w:vAlign w:val="center"/>
          </w:tcPr>
          <w:p w14:paraId="1D425011">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49B501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20" w:hRule="atLeast"/>
          <w:jc w:val="center"/>
        </w:trPr>
        <w:tc>
          <w:tcPr>
            <w:tcW w:w="1004" w:type="dxa"/>
            <w:vMerge w:val="continue"/>
            <w:shd w:val="clear" w:color="auto" w:fill="FFFFFF"/>
            <w:vAlign w:val="center"/>
          </w:tcPr>
          <w:p w14:paraId="5743107B">
            <w:pPr>
              <w:spacing w:line="0" w:lineRule="atLeast"/>
              <w:jc w:val="center"/>
              <w:rPr>
                <w:rFonts w:eastAsia="仿宋_GB2312"/>
                <w:color w:val="000000"/>
                <w:kern w:val="0"/>
                <w:sz w:val="18"/>
                <w:szCs w:val="18"/>
              </w:rPr>
            </w:pPr>
          </w:p>
        </w:tc>
        <w:tc>
          <w:tcPr>
            <w:tcW w:w="1000" w:type="dxa"/>
            <w:vMerge w:val="continue"/>
            <w:shd w:val="clear" w:color="auto" w:fill="FFFFFF"/>
            <w:vAlign w:val="center"/>
          </w:tcPr>
          <w:p w14:paraId="6BAF916E">
            <w:pPr>
              <w:spacing w:line="0" w:lineRule="atLeast"/>
              <w:jc w:val="center"/>
              <w:rPr>
                <w:rFonts w:eastAsia="仿宋_GB2312"/>
                <w:color w:val="000000"/>
                <w:kern w:val="0"/>
                <w:sz w:val="18"/>
                <w:szCs w:val="18"/>
              </w:rPr>
            </w:pPr>
          </w:p>
        </w:tc>
        <w:tc>
          <w:tcPr>
            <w:tcW w:w="1071" w:type="dxa"/>
            <w:shd w:val="clear" w:color="auto" w:fill="FFFFFF"/>
            <w:vAlign w:val="center"/>
          </w:tcPr>
          <w:p w14:paraId="7E45D0D6">
            <w:pPr>
              <w:widowControl/>
              <w:spacing w:line="0" w:lineRule="atLeast"/>
              <w:jc w:val="center"/>
              <w:rPr>
                <w:rFonts w:eastAsia="仿宋_GB2312"/>
                <w:color w:val="000000"/>
                <w:kern w:val="0"/>
                <w:sz w:val="18"/>
                <w:szCs w:val="18"/>
              </w:rPr>
            </w:pPr>
            <w:r>
              <w:rPr>
                <w:rFonts w:eastAsia="仿宋_GB2312"/>
                <w:color w:val="000000"/>
                <w:kern w:val="0"/>
                <w:sz w:val="18"/>
                <w:szCs w:val="18"/>
              </w:rPr>
              <w:t>预算执行率</w:t>
            </w:r>
          </w:p>
        </w:tc>
        <w:tc>
          <w:tcPr>
            <w:tcW w:w="1726" w:type="dxa"/>
            <w:shd w:val="clear" w:color="auto" w:fill="FFFFFF"/>
            <w:vAlign w:val="center"/>
          </w:tcPr>
          <w:p w14:paraId="54DF21F7">
            <w:pPr>
              <w:widowControl/>
              <w:spacing w:line="0" w:lineRule="atLeas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5216" w:type="dxa"/>
            <w:shd w:val="clear" w:color="auto" w:fill="FFFFFF"/>
            <w:vAlign w:val="center"/>
          </w:tcPr>
          <w:p w14:paraId="2A936566">
            <w:pPr>
              <w:widowControl/>
              <w:spacing w:line="0" w:lineRule="atLeast"/>
              <w:rPr>
                <w:rFonts w:eastAsia="仿宋_GB2312"/>
                <w:color w:val="000000"/>
                <w:kern w:val="0"/>
                <w:sz w:val="18"/>
                <w:szCs w:val="18"/>
              </w:rPr>
            </w:pPr>
            <w:r>
              <w:rPr>
                <w:rFonts w:eastAsia="仿宋_GB2312"/>
                <w:color w:val="000000"/>
                <w:kern w:val="0"/>
                <w:sz w:val="18"/>
                <w:szCs w:val="18"/>
              </w:rPr>
              <w:t>预算执行率=（实际支出资金/实际到位资金）×100%。</w:t>
            </w:r>
            <w:r>
              <w:rPr>
                <w:rFonts w:eastAsia="仿宋_GB2312"/>
                <w:color w:val="000000"/>
                <w:kern w:val="0"/>
                <w:sz w:val="18"/>
                <w:szCs w:val="18"/>
              </w:rPr>
              <w:br w:type="textWrapping"/>
            </w:r>
            <w:r>
              <w:rPr>
                <w:rFonts w:eastAsia="仿宋_GB2312"/>
                <w:color w:val="000000"/>
                <w:kern w:val="0"/>
                <w:sz w:val="18"/>
                <w:szCs w:val="18"/>
              </w:rPr>
              <w:t>实际支出资金：一定时期（本年度或项目期）内项目实际拨付的资金。</w:t>
            </w:r>
          </w:p>
        </w:tc>
        <w:tc>
          <w:tcPr>
            <w:tcW w:w="1300" w:type="dxa"/>
            <w:shd w:val="clear" w:color="auto" w:fill="FFFFFF"/>
            <w:vAlign w:val="center"/>
          </w:tcPr>
          <w:p w14:paraId="3E7166F7">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6" w:type="dxa"/>
            <w:shd w:val="clear" w:color="auto" w:fill="FFFFFF"/>
            <w:vAlign w:val="center"/>
          </w:tcPr>
          <w:p w14:paraId="5B9F22A6">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3.07</w:t>
            </w:r>
          </w:p>
        </w:tc>
      </w:tr>
      <w:tr w14:paraId="5BE91F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14:paraId="75B491E2">
            <w:pPr>
              <w:spacing w:line="0" w:lineRule="atLeast"/>
              <w:jc w:val="center"/>
              <w:rPr>
                <w:rFonts w:eastAsia="仿宋_GB2312"/>
                <w:color w:val="000000"/>
                <w:kern w:val="0"/>
                <w:sz w:val="18"/>
                <w:szCs w:val="18"/>
              </w:rPr>
            </w:pPr>
          </w:p>
        </w:tc>
        <w:tc>
          <w:tcPr>
            <w:tcW w:w="1000" w:type="dxa"/>
            <w:shd w:val="clear" w:color="auto" w:fill="FFFFFF"/>
            <w:vAlign w:val="center"/>
          </w:tcPr>
          <w:p w14:paraId="465C8ADE">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1071" w:type="dxa"/>
            <w:shd w:val="clear" w:color="auto" w:fill="FFFFFF"/>
            <w:vAlign w:val="center"/>
          </w:tcPr>
          <w:p w14:paraId="105FE534">
            <w:pPr>
              <w:widowControl/>
              <w:spacing w:line="0" w:lineRule="atLeast"/>
              <w:jc w:val="center"/>
              <w:rPr>
                <w:rFonts w:eastAsia="仿宋_GB2312"/>
                <w:color w:val="000000"/>
                <w:kern w:val="0"/>
                <w:sz w:val="18"/>
                <w:szCs w:val="18"/>
              </w:rPr>
            </w:pPr>
            <w:r>
              <w:rPr>
                <w:rFonts w:eastAsia="仿宋_GB2312"/>
                <w:color w:val="000000"/>
                <w:kern w:val="0"/>
                <w:sz w:val="18"/>
                <w:szCs w:val="18"/>
              </w:rPr>
              <w:t>资金使用</w:t>
            </w:r>
          </w:p>
          <w:p w14:paraId="62E23E6D">
            <w:pPr>
              <w:widowControl/>
              <w:spacing w:line="0" w:lineRule="atLeast"/>
              <w:jc w:val="center"/>
              <w:rPr>
                <w:rFonts w:eastAsia="仿宋_GB2312"/>
                <w:color w:val="000000"/>
                <w:kern w:val="0"/>
                <w:sz w:val="18"/>
                <w:szCs w:val="18"/>
              </w:rPr>
            </w:pPr>
            <w:r>
              <w:rPr>
                <w:rFonts w:eastAsia="仿宋_GB2312"/>
                <w:color w:val="000000"/>
                <w:kern w:val="0"/>
                <w:sz w:val="18"/>
                <w:szCs w:val="18"/>
              </w:rPr>
              <w:t>合规性</w:t>
            </w:r>
          </w:p>
        </w:tc>
        <w:tc>
          <w:tcPr>
            <w:tcW w:w="1726" w:type="dxa"/>
            <w:shd w:val="clear" w:color="000000" w:fill="FFFFFF"/>
            <w:vAlign w:val="center"/>
          </w:tcPr>
          <w:p w14:paraId="24BB4368">
            <w:pPr>
              <w:widowControl/>
              <w:spacing w:line="0" w:lineRule="atLeas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4D83E005">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①是否符合国家财经法规和财务管理制度以及有关专项资金管理办法的规定；</w:t>
            </w:r>
            <w:r>
              <w:rPr>
                <w:rFonts w:eastAsia="仿宋_GB2312"/>
                <w:color w:val="000000"/>
                <w:kern w:val="0"/>
                <w:sz w:val="18"/>
                <w:szCs w:val="18"/>
              </w:rPr>
              <w:br w:type="textWrapping"/>
            </w:r>
            <w:r>
              <w:rPr>
                <w:rFonts w:eastAsia="仿宋_GB2312"/>
                <w:color w:val="000000"/>
                <w:kern w:val="0"/>
                <w:sz w:val="18"/>
                <w:szCs w:val="18"/>
              </w:rPr>
              <w:t>②资金的拨付是否有完整的审批程序和手续；</w:t>
            </w:r>
            <w:r>
              <w:rPr>
                <w:rFonts w:eastAsia="仿宋_GB2312"/>
                <w:color w:val="000000"/>
                <w:kern w:val="0"/>
                <w:sz w:val="18"/>
                <w:szCs w:val="18"/>
              </w:rPr>
              <w:br w:type="textWrapping"/>
            </w:r>
            <w:r>
              <w:rPr>
                <w:rFonts w:eastAsia="仿宋_GB2312"/>
                <w:color w:val="000000"/>
                <w:kern w:val="0"/>
                <w:sz w:val="18"/>
                <w:szCs w:val="18"/>
              </w:rPr>
              <w:t>③是否符合项目预算批复或合同规定的用途；</w:t>
            </w:r>
            <w:r>
              <w:rPr>
                <w:rFonts w:eastAsia="仿宋_GB2312"/>
                <w:color w:val="000000"/>
                <w:kern w:val="0"/>
                <w:sz w:val="18"/>
                <w:szCs w:val="18"/>
              </w:rPr>
              <w:br w:type="textWrapping"/>
            </w:r>
            <w:r>
              <w:rPr>
                <w:rFonts w:eastAsia="仿宋_GB2312"/>
                <w:color w:val="000000"/>
                <w:kern w:val="0"/>
                <w:sz w:val="18"/>
                <w:szCs w:val="18"/>
              </w:rPr>
              <w:t>④是否存在截留、挤占、挪用、虚列支出等情况。</w:t>
            </w:r>
          </w:p>
        </w:tc>
        <w:tc>
          <w:tcPr>
            <w:tcW w:w="1300" w:type="dxa"/>
            <w:shd w:val="clear" w:color="000000" w:fill="FFFFFF"/>
            <w:vAlign w:val="center"/>
          </w:tcPr>
          <w:p w14:paraId="589CE267">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6" w:type="dxa"/>
            <w:shd w:val="clear" w:color="000000" w:fill="FFFFFF"/>
            <w:vAlign w:val="center"/>
          </w:tcPr>
          <w:p w14:paraId="383D4AAC">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03FBDB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97" w:hRule="atLeast"/>
          <w:jc w:val="center"/>
        </w:trPr>
        <w:tc>
          <w:tcPr>
            <w:tcW w:w="1004" w:type="dxa"/>
            <w:vMerge w:val="continue"/>
            <w:shd w:val="clear" w:color="auto" w:fill="FFFFFF"/>
            <w:vAlign w:val="center"/>
          </w:tcPr>
          <w:p w14:paraId="12D46A60">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23278C2C">
            <w:pPr>
              <w:widowControl/>
              <w:spacing w:line="0" w:lineRule="atLeast"/>
              <w:jc w:val="center"/>
              <w:rPr>
                <w:rFonts w:eastAsia="仿宋_GB2312"/>
                <w:color w:val="000000"/>
                <w:kern w:val="0"/>
                <w:sz w:val="18"/>
                <w:szCs w:val="18"/>
              </w:rPr>
            </w:pPr>
            <w:r>
              <w:rPr>
                <w:rFonts w:eastAsia="仿宋_GB2312"/>
                <w:color w:val="000000"/>
                <w:kern w:val="0"/>
                <w:sz w:val="18"/>
                <w:szCs w:val="18"/>
              </w:rPr>
              <w:t>组织实施</w:t>
            </w:r>
          </w:p>
          <w:p w14:paraId="4DACB425">
            <w:pPr>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1071" w:type="dxa"/>
            <w:shd w:val="clear" w:color="auto" w:fill="FFFFFF"/>
            <w:vAlign w:val="center"/>
          </w:tcPr>
          <w:p w14:paraId="2279EE7F">
            <w:pPr>
              <w:widowControl/>
              <w:spacing w:line="0" w:lineRule="atLeast"/>
              <w:jc w:val="center"/>
              <w:rPr>
                <w:rFonts w:eastAsia="仿宋_GB2312"/>
                <w:color w:val="000000"/>
                <w:kern w:val="0"/>
                <w:sz w:val="18"/>
                <w:szCs w:val="18"/>
              </w:rPr>
            </w:pPr>
            <w:r>
              <w:rPr>
                <w:rFonts w:eastAsia="仿宋_GB2312"/>
                <w:color w:val="000000"/>
                <w:kern w:val="0"/>
                <w:sz w:val="18"/>
                <w:szCs w:val="18"/>
              </w:rPr>
              <w:t>管理制度</w:t>
            </w:r>
          </w:p>
          <w:p w14:paraId="5F3E8705">
            <w:pPr>
              <w:widowControl/>
              <w:spacing w:line="0" w:lineRule="atLeast"/>
              <w:jc w:val="center"/>
              <w:rPr>
                <w:rFonts w:eastAsia="仿宋_GB2312"/>
                <w:color w:val="000000"/>
                <w:kern w:val="0"/>
                <w:sz w:val="18"/>
                <w:szCs w:val="18"/>
              </w:rPr>
            </w:pPr>
            <w:r>
              <w:rPr>
                <w:rFonts w:eastAsia="仿宋_GB2312"/>
                <w:color w:val="000000"/>
                <w:kern w:val="0"/>
                <w:sz w:val="18"/>
                <w:szCs w:val="18"/>
              </w:rPr>
              <w:t>健全性</w:t>
            </w:r>
          </w:p>
        </w:tc>
        <w:tc>
          <w:tcPr>
            <w:tcW w:w="1726" w:type="dxa"/>
            <w:shd w:val="clear" w:color="000000" w:fill="FFFFFF"/>
            <w:vAlign w:val="center"/>
          </w:tcPr>
          <w:p w14:paraId="24D3A432">
            <w:pPr>
              <w:widowControl/>
              <w:spacing w:line="0" w:lineRule="atLeas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5C8E3A3D">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①是否已制定或具有相应的财务和业务管理制度；</w:t>
            </w:r>
            <w:r>
              <w:rPr>
                <w:rFonts w:eastAsia="仿宋_GB2312"/>
                <w:color w:val="000000"/>
                <w:kern w:val="0"/>
                <w:sz w:val="18"/>
                <w:szCs w:val="18"/>
              </w:rPr>
              <w:br w:type="textWrapping"/>
            </w:r>
            <w:r>
              <w:rPr>
                <w:rFonts w:eastAsia="仿宋_GB2312"/>
                <w:color w:val="000000"/>
                <w:kern w:val="0"/>
                <w:sz w:val="18"/>
                <w:szCs w:val="18"/>
              </w:rPr>
              <w:t>②财务和业务管理制度是否合法、合规、完整。</w:t>
            </w:r>
          </w:p>
        </w:tc>
        <w:tc>
          <w:tcPr>
            <w:tcW w:w="1300" w:type="dxa"/>
            <w:shd w:val="clear" w:color="000000" w:fill="FFFFFF"/>
            <w:vAlign w:val="center"/>
          </w:tcPr>
          <w:p w14:paraId="2B86A319">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6" w:type="dxa"/>
            <w:shd w:val="clear" w:color="000000" w:fill="FFFFFF"/>
            <w:vAlign w:val="center"/>
          </w:tcPr>
          <w:p w14:paraId="54272158">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721A2C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69" w:hRule="atLeast"/>
          <w:jc w:val="center"/>
        </w:trPr>
        <w:tc>
          <w:tcPr>
            <w:tcW w:w="1004" w:type="dxa"/>
            <w:vMerge w:val="continue"/>
            <w:shd w:val="clear" w:color="auto" w:fill="FFFFFF"/>
            <w:vAlign w:val="center"/>
          </w:tcPr>
          <w:p w14:paraId="00E7E795">
            <w:pPr>
              <w:widowControl/>
              <w:spacing w:line="0" w:lineRule="atLeast"/>
              <w:jc w:val="center"/>
              <w:rPr>
                <w:rFonts w:eastAsia="仿宋_GB2312"/>
                <w:color w:val="000000"/>
                <w:kern w:val="0"/>
                <w:sz w:val="18"/>
                <w:szCs w:val="18"/>
              </w:rPr>
            </w:pPr>
          </w:p>
        </w:tc>
        <w:tc>
          <w:tcPr>
            <w:tcW w:w="1000" w:type="dxa"/>
            <w:vMerge w:val="continue"/>
            <w:shd w:val="clear" w:color="auto" w:fill="FFFFFF"/>
            <w:vAlign w:val="center"/>
          </w:tcPr>
          <w:p w14:paraId="2AA30174">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7B3484DD">
            <w:pPr>
              <w:widowControl/>
              <w:spacing w:line="0" w:lineRule="atLeast"/>
              <w:jc w:val="center"/>
              <w:rPr>
                <w:rFonts w:eastAsia="仿宋_GB2312"/>
                <w:color w:val="000000"/>
                <w:kern w:val="0"/>
                <w:sz w:val="18"/>
                <w:szCs w:val="18"/>
              </w:rPr>
            </w:pPr>
            <w:r>
              <w:rPr>
                <w:rFonts w:eastAsia="仿宋_GB2312"/>
                <w:color w:val="000000"/>
                <w:kern w:val="0"/>
                <w:sz w:val="18"/>
                <w:szCs w:val="18"/>
              </w:rPr>
              <w:t>制度执行</w:t>
            </w:r>
          </w:p>
          <w:p w14:paraId="11A5D997">
            <w:pPr>
              <w:widowControl/>
              <w:spacing w:line="0" w:lineRule="atLeast"/>
              <w:jc w:val="center"/>
              <w:rPr>
                <w:rFonts w:eastAsia="仿宋_GB2312"/>
                <w:color w:val="000000"/>
                <w:kern w:val="0"/>
                <w:sz w:val="18"/>
                <w:szCs w:val="18"/>
              </w:rPr>
            </w:pPr>
            <w:r>
              <w:rPr>
                <w:rFonts w:eastAsia="仿宋_GB2312"/>
                <w:color w:val="000000"/>
                <w:kern w:val="0"/>
                <w:sz w:val="18"/>
                <w:szCs w:val="18"/>
              </w:rPr>
              <w:t>有效性</w:t>
            </w:r>
          </w:p>
        </w:tc>
        <w:tc>
          <w:tcPr>
            <w:tcW w:w="1726" w:type="dxa"/>
            <w:shd w:val="clear" w:color="000000" w:fill="FFFFFF"/>
            <w:vAlign w:val="center"/>
          </w:tcPr>
          <w:p w14:paraId="4E2E3A56">
            <w:pPr>
              <w:widowControl/>
              <w:spacing w:line="0" w:lineRule="atLeas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0AD76DBC">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①是否遵守相关法律法规和相关管理规定；</w:t>
            </w:r>
            <w:r>
              <w:rPr>
                <w:rFonts w:eastAsia="仿宋_GB2312"/>
                <w:color w:val="000000"/>
                <w:kern w:val="0"/>
                <w:sz w:val="18"/>
                <w:szCs w:val="18"/>
              </w:rPr>
              <w:br w:type="textWrapping"/>
            </w:r>
            <w:r>
              <w:rPr>
                <w:rFonts w:eastAsia="仿宋_GB2312"/>
                <w:color w:val="000000"/>
                <w:kern w:val="0"/>
                <w:sz w:val="18"/>
                <w:szCs w:val="18"/>
              </w:rPr>
              <w:t>②项目调整及支出调整手续是否完备；</w:t>
            </w:r>
            <w:r>
              <w:rPr>
                <w:rFonts w:eastAsia="仿宋_GB2312"/>
                <w:color w:val="000000"/>
                <w:kern w:val="0"/>
                <w:sz w:val="18"/>
                <w:szCs w:val="18"/>
              </w:rPr>
              <w:br w:type="textWrapping"/>
            </w:r>
            <w:r>
              <w:rPr>
                <w:rFonts w:eastAsia="仿宋_GB2312"/>
                <w:color w:val="000000"/>
                <w:kern w:val="0"/>
                <w:sz w:val="18"/>
                <w:szCs w:val="18"/>
              </w:rPr>
              <w:t>③项目合同书、验收报告、技术鉴定等资料是否齐全并及时归档；</w:t>
            </w:r>
            <w:r>
              <w:rPr>
                <w:rFonts w:eastAsia="仿宋_GB2312"/>
                <w:color w:val="000000"/>
                <w:kern w:val="0"/>
                <w:sz w:val="18"/>
                <w:szCs w:val="18"/>
              </w:rPr>
              <w:br w:type="textWrapping"/>
            </w:r>
            <w:r>
              <w:rPr>
                <w:rFonts w:eastAsia="仿宋_GB2312"/>
                <w:color w:val="000000"/>
                <w:kern w:val="0"/>
                <w:sz w:val="18"/>
                <w:szCs w:val="18"/>
              </w:rPr>
              <w:t>④项目实施的人员条件、场地设备、信息支撑等是否落实到位。</w:t>
            </w:r>
          </w:p>
        </w:tc>
        <w:tc>
          <w:tcPr>
            <w:tcW w:w="1300" w:type="dxa"/>
            <w:shd w:val="clear" w:color="000000" w:fill="FFFFFF"/>
            <w:vAlign w:val="center"/>
          </w:tcPr>
          <w:p w14:paraId="57B6CD2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6" w:type="dxa"/>
            <w:shd w:val="clear" w:color="000000" w:fill="FFFFFF"/>
            <w:vAlign w:val="center"/>
          </w:tcPr>
          <w:p w14:paraId="26A59C52">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4D701D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17" w:hRule="atLeast"/>
          <w:jc w:val="center"/>
        </w:trPr>
        <w:tc>
          <w:tcPr>
            <w:tcW w:w="1004" w:type="dxa"/>
            <w:vMerge w:val="restart"/>
            <w:shd w:val="clear" w:color="auto" w:fill="FFFFFF"/>
            <w:vAlign w:val="center"/>
          </w:tcPr>
          <w:p w14:paraId="3C34C55F">
            <w:pPr>
              <w:widowControl/>
              <w:spacing w:line="0" w:lineRule="atLeast"/>
              <w:jc w:val="center"/>
              <w:rPr>
                <w:rFonts w:eastAsia="仿宋_GB2312"/>
                <w:color w:val="000000"/>
                <w:kern w:val="0"/>
                <w:sz w:val="18"/>
                <w:szCs w:val="18"/>
              </w:rPr>
            </w:pPr>
            <w:r>
              <w:rPr>
                <w:rFonts w:eastAsia="仿宋_GB2312"/>
                <w:color w:val="000000"/>
                <w:kern w:val="0"/>
                <w:sz w:val="18"/>
                <w:szCs w:val="18"/>
              </w:rPr>
              <w:t>产出</w:t>
            </w:r>
          </w:p>
        </w:tc>
        <w:tc>
          <w:tcPr>
            <w:tcW w:w="1000" w:type="dxa"/>
            <w:shd w:val="clear" w:color="auto" w:fill="FFFFFF"/>
            <w:vAlign w:val="center"/>
          </w:tcPr>
          <w:p w14:paraId="28D5272F">
            <w:pPr>
              <w:widowControl/>
              <w:spacing w:line="0" w:lineRule="atLeast"/>
              <w:jc w:val="center"/>
              <w:rPr>
                <w:rFonts w:eastAsia="仿宋_GB2312"/>
                <w:color w:val="000000"/>
                <w:kern w:val="0"/>
                <w:sz w:val="18"/>
                <w:szCs w:val="18"/>
              </w:rPr>
            </w:pPr>
            <w:r>
              <w:rPr>
                <w:rFonts w:eastAsia="仿宋_GB2312"/>
                <w:color w:val="000000"/>
                <w:kern w:val="0"/>
                <w:sz w:val="18"/>
                <w:szCs w:val="18"/>
              </w:rPr>
              <w:t>产出数量</w:t>
            </w:r>
          </w:p>
        </w:tc>
        <w:tc>
          <w:tcPr>
            <w:tcW w:w="1071" w:type="dxa"/>
            <w:shd w:val="clear" w:color="auto" w:fill="FFFFFF"/>
            <w:vAlign w:val="center"/>
          </w:tcPr>
          <w:p w14:paraId="5EE6AAE0">
            <w:pPr>
              <w:widowControl/>
              <w:spacing w:line="0" w:lineRule="atLeast"/>
              <w:jc w:val="center"/>
              <w:rPr>
                <w:rFonts w:eastAsia="仿宋_GB2312"/>
                <w:color w:val="000000"/>
                <w:kern w:val="0"/>
                <w:sz w:val="18"/>
                <w:szCs w:val="18"/>
              </w:rPr>
            </w:pPr>
            <w:r>
              <w:rPr>
                <w:rFonts w:eastAsia="仿宋_GB2312"/>
                <w:color w:val="000000"/>
                <w:kern w:val="0"/>
                <w:sz w:val="18"/>
                <w:szCs w:val="18"/>
              </w:rPr>
              <w:t>实际完成率</w:t>
            </w:r>
          </w:p>
        </w:tc>
        <w:tc>
          <w:tcPr>
            <w:tcW w:w="1726" w:type="dxa"/>
            <w:shd w:val="clear" w:color="000000" w:fill="FFFFFF"/>
            <w:vAlign w:val="center"/>
          </w:tcPr>
          <w:p w14:paraId="4A58CF3D">
            <w:pPr>
              <w:widowControl/>
              <w:spacing w:line="0" w:lineRule="atLeas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7CC1F6F4">
            <w:pPr>
              <w:widowControl/>
              <w:spacing w:line="0" w:lineRule="atLeast"/>
              <w:rPr>
                <w:rFonts w:eastAsia="仿宋_GB2312"/>
                <w:color w:val="000000"/>
                <w:kern w:val="0"/>
                <w:sz w:val="18"/>
                <w:szCs w:val="18"/>
              </w:rPr>
            </w:pPr>
            <w:r>
              <w:rPr>
                <w:rFonts w:eastAsia="仿宋_GB2312"/>
                <w:color w:val="000000"/>
                <w:kern w:val="0"/>
                <w:sz w:val="18"/>
                <w:szCs w:val="18"/>
              </w:rPr>
              <w:t>实际完成率=（实际产出数/计划产出数）×100%。</w:t>
            </w:r>
            <w:r>
              <w:rPr>
                <w:rFonts w:eastAsia="仿宋_GB2312"/>
                <w:color w:val="000000"/>
                <w:kern w:val="0"/>
                <w:sz w:val="18"/>
                <w:szCs w:val="18"/>
              </w:rPr>
              <w:br w:type="textWrapping"/>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type="textWrapping"/>
            </w:r>
            <w:r>
              <w:rPr>
                <w:rFonts w:eastAsia="仿宋_GB2312"/>
                <w:color w:val="000000"/>
                <w:kern w:val="0"/>
                <w:sz w:val="18"/>
                <w:szCs w:val="18"/>
              </w:rPr>
              <w:t>计划产出数：项目绩效目标确定的在一定时期（本年度或项目期）内计划产出的产品或提供的服务数量。</w:t>
            </w:r>
          </w:p>
        </w:tc>
        <w:tc>
          <w:tcPr>
            <w:tcW w:w="1300" w:type="dxa"/>
            <w:shd w:val="clear" w:color="000000" w:fill="FFFFFF"/>
            <w:vAlign w:val="center"/>
          </w:tcPr>
          <w:p w14:paraId="28A31C0C">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6" w:type="dxa"/>
            <w:shd w:val="clear" w:color="000000" w:fill="FFFFFF"/>
            <w:vAlign w:val="center"/>
          </w:tcPr>
          <w:p w14:paraId="5B974EE1">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9.98</w:t>
            </w:r>
          </w:p>
        </w:tc>
      </w:tr>
      <w:tr w14:paraId="1BF582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18" w:hRule="atLeast"/>
          <w:jc w:val="center"/>
        </w:trPr>
        <w:tc>
          <w:tcPr>
            <w:tcW w:w="1004" w:type="dxa"/>
            <w:vMerge w:val="continue"/>
            <w:shd w:val="clear" w:color="auto" w:fill="FFFFFF"/>
            <w:vAlign w:val="center"/>
          </w:tcPr>
          <w:p w14:paraId="6ED2275D">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792B62EA">
            <w:pPr>
              <w:widowControl/>
              <w:spacing w:line="0" w:lineRule="atLeast"/>
              <w:jc w:val="center"/>
              <w:rPr>
                <w:rFonts w:eastAsia="仿宋_GB2312"/>
                <w:color w:val="000000"/>
                <w:kern w:val="0"/>
                <w:sz w:val="18"/>
                <w:szCs w:val="18"/>
              </w:rPr>
            </w:pPr>
            <w:r>
              <w:rPr>
                <w:rFonts w:eastAsia="仿宋_GB2312"/>
                <w:color w:val="000000"/>
                <w:kern w:val="0"/>
                <w:sz w:val="18"/>
                <w:szCs w:val="18"/>
              </w:rPr>
              <w:t>产出质量</w:t>
            </w:r>
          </w:p>
        </w:tc>
        <w:tc>
          <w:tcPr>
            <w:tcW w:w="1071" w:type="dxa"/>
            <w:shd w:val="clear" w:color="auto" w:fill="FFFFFF"/>
            <w:vAlign w:val="center"/>
          </w:tcPr>
          <w:p w14:paraId="43C0BBF3">
            <w:pPr>
              <w:widowControl/>
              <w:spacing w:line="0" w:lineRule="atLeast"/>
              <w:jc w:val="center"/>
              <w:rPr>
                <w:rFonts w:eastAsia="仿宋_GB2312"/>
                <w:color w:val="000000"/>
                <w:kern w:val="0"/>
                <w:sz w:val="18"/>
                <w:szCs w:val="18"/>
              </w:rPr>
            </w:pPr>
            <w:r>
              <w:rPr>
                <w:rFonts w:eastAsia="仿宋_GB2312"/>
                <w:color w:val="000000"/>
                <w:kern w:val="0"/>
                <w:sz w:val="18"/>
                <w:szCs w:val="18"/>
              </w:rPr>
              <w:t>质量达标率</w:t>
            </w:r>
          </w:p>
        </w:tc>
        <w:tc>
          <w:tcPr>
            <w:tcW w:w="1726" w:type="dxa"/>
            <w:shd w:val="clear" w:color="000000" w:fill="FFFFFF"/>
            <w:vAlign w:val="center"/>
          </w:tcPr>
          <w:p w14:paraId="562BF121">
            <w:pPr>
              <w:widowControl/>
              <w:spacing w:line="0" w:lineRule="atLeas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580B0E91">
            <w:pPr>
              <w:widowControl/>
              <w:spacing w:line="0" w:lineRule="atLeast"/>
              <w:rPr>
                <w:rFonts w:eastAsia="仿宋_GB2312"/>
                <w:color w:val="000000"/>
                <w:kern w:val="0"/>
                <w:sz w:val="18"/>
                <w:szCs w:val="18"/>
              </w:rPr>
            </w:pPr>
            <w:r>
              <w:rPr>
                <w:rFonts w:eastAsia="仿宋_GB2312"/>
                <w:color w:val="000000"/>
                <w:kern w:val="0"/>
                <w:sz w:val="18"/>
                <w:szCs w:val="18"/>
              </w:rPr>
              <w:t>质量达标率=（质量达标产出数/实际产出数）×100%。</w:t>
            </w:r>
          </w:p>
          <w:p w14:paraId="7691E8D8">
            <w:pPr>
              <w:widowControl/>
              <w:spacing w:line="0" w:lineRule="atLeas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14:paraId="6E90E306">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6" w:type="dxa"/>
            <w:shd w:val="clear" w:color="000000" w:fill="FFFFFF"/>
            <w:vAlign w:val="center"/>
          </w:tcPr>
          <w:p w14:paraId="77570563">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14:paraId="139BD6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6" w:hRule="atLeast"/>
          <w:jc w:val="center"/>
        </w:trPr>
        <w:tc>
          <w:tcPr>
            <w:tcW w:w="1004" w:type="dxa"/>
            <w:vMerge w:val="continue"/>
            <w:shd w:val="clear" w:color="auto" w:fill="FFFFFF"/>
            <w:vAlign w:val="center"/>
          </w:tcPr>
          <w:p w14:paraId="29C611F1">
            <w:pPr>
              <w:spacing w:line="0" w:lineRule="atLeast"/>
              <w:jc w:val="center"/>
              <w:rPr>
                <w:rFonts w:eastAsia="仿宋_GB2312"/>
                <w:color w:val="000000"/>
                <w:kern w:val="0"/>
                <w:sz w:val="18"/>
                <w:szCs w:val="18"/>
              </w:rPr>
            </w:pPr>
          </w:p>
        </w:tc>
        <w:tc>
          <w:tcPr>
            <w:tcW w:w="1000" w:type="dxa"/>
            <w:shd w:val="clear" w:color="auto" w:fill="FFFFFF"/>
            <w:vAlign w:val="center"/>
          </w:tcPr>
          <w:p w14:paraId="0B973CF4">
            <w:pPr>
              <w:spacing w:line="0" w:lineRule="atLeast"/>
              <w:jc w:val="center"/>
              <w:rPr>
                <w:rFonts w:eastAsia="仿宋_GB2312"/>
                <w:color w:val="000000"/>
                <w:kern w:val="0"/>
                <w:sz w:val="18"/>
                <w:szCs w:val="18"/>
              </w:rPr>
            </w:pPr>
            <w:r>
              <w:rPr>
                <w:rFonts w:eastAsia="仿宋_GB2312"/>
                <w:color w:val="000000"/>
                <w:kern w:val="0"/>
                <w:sz w:val="18"/>
                <w:szCs w:val="18"/>
              </w:rPr>
              <w:t>产出时效</w:t>
            </w:r>
          </w:p>
        </w:tc>
        <w:tc>
          <w:tcPr>
            <w:tcW w:w="1071" w:type="dxa"/>
            <w:shd w:val="clear" w:color="auto" w:fill="FFFFFF"/>
            <w:vAlign w:val="center"/>
          </w:tcPr>
          <w:p w14:paraId="7F0DC006">
            <w:pPr>
              <w:widowControl/>
              <w:spacing w:line="0" w:lineRule="atLeast"/>
              <w:jc w:val="center"/>
              <w:rPr>
                <w:rFonts w:eastAsia="仿宋_GB2312"/>
                <w:color w:val="000000"/>
                <w:kern w:val="0"/>
                <w:sz w:val="18"/>
                <w:szCs w:val="18"/>
              </w:rPr>
            </w:pPr>
            <w:r>
              <w:rPr>
                <w:rFonts w:eastAsia="仿宋_GB2312"/>
                <w:color w:val="000000"/>
                <w:kern w:val="0"/>
                <w:sz w:val="18"/>
                <w:szCs w:val="18"/>
              </w:rPr>
              <w:t>完成及时性</w:t>
            </w:r>
          </w:p>
        </w:tc>
        <w:tc>
          <w:tcPr>
            <w:tcW w:w="1726" w:type="dxa"/>
            <w:shd w:val="clear" w:color="000000" w:fill="FFFFFF"/>
            <w:vAlign w:val="center"/>
          </w:tcPr>
          <w:p w14:paraId="525E1568">
            <w:pPr>
              <w:widowControl/>
              <w:spacing w:line="0" w:lineRule="atLeas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1B6BF7BA">
            <w:pPr>
              <w:widowControl/>
              <w:spacing w:line="0" w:lineRule="atLeast"/>
              <w:rPr>
                <w:rFonts w:eastAsia="仿宋_GB2312"/>
                <w:color w:val="000000"/>
                <w:kern w:val="0"/>
                <w:sz w:val="18"/>
                <w:szCs w:val="18"/>
              </w:rPr>
            </w:pPr>
            <w:r>
              <w:rPr>
                <w:rFonts w:eastAsia="仿宋_GB2312"/>
                <w:color w:val="000000"/>
                <w:kern w:val="0"/>
                <w:sz w:val="18"/>
                <w:szCs w:val="18"/>
              </w:rPr>
              <w:t>实际完成时间：项目实施单位完成该项目实际所耗用的时间。</w:t>
            </w:r>
            <w:r>
              <w:rPr>
                <w:rFonts w:eastAsia="仿宋_GB2312"/>
                <w:color w:val="000000"/>
                <w:kern w:val="0"/>
                <w:sz w:val="18"/>
                <w:szCs w:val="18"/>
              </w:rPr>
              <w:br w:type="textWrapping"/>
            </w:r>
            <w:r>
              <w:rPr>
                <w:rFonts w:eastAsia="仿宋_GB2312"/>
                <w:color w:val="000000"/>
                <w:kern w:val="0"/>
                <w:sz w:val="18"/>
                <w:szCs w:val="18"/>
              </w:rPr>
              <w:t>计划完成时间：按照项目实施计划或相关规定完成该项目所需的时间。</w:t>
            </w:r>
          </w:p>
        </w:tc>
        <w:tc>
          <w:tcPr>
            <w:tcW w:w="1300" w:type="dxa"/>
            <w:shd w:val="clear" w:color="000000" w:fill="FFFFFF"/>
            <w:vAlign w:val="center"/>
          </w:tcPr>
          <w:p w14:paraId="155EE8A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6" w:type="dxa"/>
            <w:shd w:val="clear" w:color="000000" w:fill="FFFFFF"/>
            <w:vAlign w:val="center"/>
          </w:tcPr>
          <w:p w14:paraId="5B839787">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14:paraId="6C7F93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14:paraId="78D7D562">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1642D55C">
            <w:pPr>
              <w:widowControl/>
              <w:spacing w:line="0" w:lineRule="atLeast"/>
              <w:jc w:val="center"/>
              <w:rPr>
                <w:rFonts w:eastAsia="仿宋_GB2312"/>
                <w:color w:val="000000"/>
                <w:kern w:val="0"/>
                <w:sz w:val="18"/>
                <w:szCs w:val="18"/>
              </w:rPr>
            </w:pPr>
            <w:r>
              <w:rPr>
                <w:rFonts w:eastAsia="仿宋_GB2312"/>
                <w:color w:val="000000"/>
                <w:kern w:val="0"/>
                <w:sz w:val="18"/>
                <w:szCs w:val="18"/>
              </w:rPr>
              <w:t>产出成本</w:t>
            </w:r>
          </w:p>
        </w:tc>
        <w:tc>
          <w:tcPr>
            <w:tcW w:w="1071" w:type="dxa"/>
            <w:shd w:val="clear" w:color="auto" w:fill="FFFFFF"/>
            <w:vAlign w:val="center"/>
          </w:tcPr>
          <w:p w14:paraId="3EBA8A3F">
            <w:pPr>
              <w:widowControl/>
              <w:spacing w:line="0" w:lineRule="atLeast"/>
              <w:jc w:val="center"/>
              <w:rPr>
                <w:rFonts w:eastAsia="仿宋_GB2312"/>
                <w:color w:val="000000"/>
                <w:kern w:val="0"/>
                <w:sz w:val="18"/>
                <w:szCs w:val="18"/>
              </w:rPr>
            </w:pPr>
            <w:r>
              <w:rPr>
                <w:rFonts w:eastAsia="仿宋_GB2312"/>
                <w:color w:val="000000"/>
                <w:kern w:val="0"/>
                <w:sz w:val="18"/>
                <w:szCs w:val="18"/>
              </w:rPr>
              <w:t>成本</w:t>
            </w:r>
            <w:r>
              <w:rPr>
                <w:rFonts w:hint="eastAsia" w:eastAsia="仿宋_GB2312"/>
                <w:color w:val="000000"/>
                <w:kern w:val="0"/>
                <w:sz w:val="18"/>
                <w:szCs w:val="18"/>
              </w:rPr>
              <w:t>完成</w:t>
            </w:r>
            <w:r>
              <w:rPr>
                <w:rFonts w:eastAsia="仿宋_GB2312"/>
                <w:color w:val="000000"/>
                <w:kern w:val="0"/>
                <w:sz w:val="18"/>
                <w:szCs w:val="18"/>
              </w:rPr>
              <w:t>率</w:t>
            </w:r>
          </w:p>
        </w:tc>
        <w:tc>
          <w:tcPr>
            <w:tcW w:w="1726" w:type="dxa"/>
            <w:shd w:val="clear" w:color="000000" w:fill="FFFFFF"/>
            <w:vAlign w:val="center"/>
          </w:tcPr>
          <w:p w14:paraId="481160DC">
            <w:pPr>
              <w:widowControl/>
              <w:spacing w:line="0" w:lineRule="atLeast"/>
              <w:rPr>
                <w:rFonts w:eastAsia="仿宋_GB2312"/>
                <w:color w:val="000000"/>
                <w:kern w:val="0"/>
                <w:sz w:val="18"/>
                <w:szCs w:val="18"/>
              </w:rPr>
            </w:pPr>
            <w:r>
              <w:rPr>
                <w:rFonts w:eastAsia="仿宋_GB2312"/>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1AAA20EA">
            <w:pPr>
              <w:widowControl/>
              <w:spacing w:line="0" w:lineRule="atLeast"/>
              <w:rPr>
                <w:rFonts w:eastAsia="仿宋_GB2312"/>
                <w:color w:val="000000"/>
                <w:kern w:val="0"/>
                <w:sz w:val="18"/>
                <w:szCs w:val="18"/>
              </w:rPr>
            </w:pPr>
            <w:r>
              <w:rPr>
                <w:rFonts w:eastAsia="仿宋_GB2312"/>
                <w:color w:val="000000"/>
                <w:kern w:val="0"/>
                <w:sz w:val="18"/>
                <w:szCs w:val="18"/>
              </w:rPr>
              <w:br w:type="textWrapping"/>
            </w:r>
            <w:r>
              <w:rPr>
                <w:rFonts w:eastAsia="仿宋_GB2312"/>
                <w:color w:val="000000"/>
                <w:kern w:val="0"/>
                <w:sz w:val="18"/>
                <w:szCs w:val="18"/>
              </w:rPr>
              <w:t>成本节约率=[（计划成本-实际成本）/计划成本]×100%。</w:t>
            </w:r>
            <w:r>
              <w:rPr>
                <w:rFonts w:eastAsia="仿宋_GB2312"/>
                <w:color w:val="000000"/>
                <w:kern w:val="0"/>
                <w:sz w:val="18"/>
                <w:szCs w:val="18"/>
              </w:rPr>
              <w:br w:type="textWrapping"/>
            </w:r>
            <w:r>
              <w:rPr>
                <w:rFonts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type="textWrapping"/>
            </w:r>
            <w:r>
              <w:rPr>
                <w:rFonts w:eastAsia="仿宋_GB2312"/>
                <w:color w:val="000000"/>
                <w:kern w:val="0"/>
                <w:sz w:val="18"/>
                <w:szCs w:val="18"/>
              </w:rPr>
              <w:t>计划成本：项目实施单位为完成工作目标计划安排的支出，一般以项目预算为参考。</w:t>
            </w:r>
          </w:p>
        </w:tc>
        <w:tc>
          <w:tcPr>
            <w:tcW w:w="1300" w:type="dxa"/>
            <w:shd w:val="clear" w:color="000000" w:fill="FFFFFF"/>
            <w:vAlign w:val="center"/>
          </w:tcPr>
          <w:p w14:paraId="5D2887DA">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6" w:type="dxa"/>
            <w:shd w:val="clear" w:color="000000" w:fill="FFFFFF"/>
            <w:vAlign w:val="center"/>
          </w:tcPr>
          <w:p w14:paraId="6DF3DEC1">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7.67</w:t>
            </w:r>
          </w:p>
        </w:tc>
      </w:tr>
      <w:tr w14:paraId="3B7E35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jc w:val="center"/>
        </w:trPr>
        <w:tc>
          <w:tcPr>
            <w:tcW w:w="1004" w:type="dxa"/>
            <w:vMerge w:val="restart"/>
            <w:shd w:val="clear" w:color="auto" w:fill="FFFFFF"/>
            <w:vAlign w:val="center"/>
          </w:tcPr>
          <w:p w14:paraId="45470B65">
            <w:pPr>
              <w:widowControl/>
              <w:spacing w:line="0" w:lineRule="atLeast"/>
              <w:jc w:val="center"/>
              <w:rPr>
                <w:rFonts w:eastAsia="仿宋_GB2312"/>
                <w:color w:val="000000"/>
                <w:kern w:val="0"/>
                <w:sz w:val="18"/>
                <w:szCs w:val="18"/>
              </w:rPr>
            </w:pPr>
            <w:r>
              <w:rPr>
                <w:rFonts w:eastAsia="仿宋_GB2312"/>
                <w:color w:val="000000"/>
                <w:kern w:val="0"/>
                <w:sz w:val="18"/>
                <w:szCs w:val="18"/>
              </w:rPr>
              <w:t>效益　</w:t>
            </w:r>
          </w:p>
        </w:tc>
        <w:tc>
          <w:tcPr>
            <w:tcW w:w="1000" w:type="dxa"/>
            <w:vMerge w:val="restart"/>
            <w:shd w:val="clear" w:color="auto" w:fill="FFFFFF"/>
            <w:vAlign w:val="center"/>
          </w:tcPr>
          <w:p w14:paraId="6F2AEB76">
            <w:pPr>
              <w:widowControl/>
              <w:spacing w:line="0" w:lineRule="atLeast"/>
              <w:jc w:val="center"/>
              <w:rPr>
                <w:rFonts w:eastAsia="仿宋_GB2312"/>
                <w:color w:val="000000"/>
                <w:kern w:val="0"/>
                <w:sz w:val="18"/>
                <w:szCs w:val="18"/>
              </w:rPr>
            </w:pPr>
            <w:r>
              <w:rPr>
                <w:rFonts w:eastAsia="仿宋_GB2312"/>
                <w:color w:val="000000"/>
                <w:kern w:val="0"/>
                <w:sz w:val="18"/>
                <w:szCs w:val="18"/>
              </w:rPr>
              <w:t>项目效益　</w:t>
            </w:r>
          </w:p>
        </w:tc>
        <w:tc>
          <w:tcPr>
            <w:tcW w:w="1071" w:type="dxa"/>
            <w:shd w:val="clear" w:color="auto" w:fill="FFFFFF"/>
            <w:vAlign w:val="center"/>
          </w:tcPr>
          <w:p w14:paraId="1334B400">
            <w:pPr>
              <w:widowControl/>
              <w:spacing w:line="0" w:lineRule="atLeast"/>
              <w:jc w:val="center"/>
              <w:rPr>
                <w:rFonts w:eastAsia="仿宋_GB2312"/>
                <w:color w:val="000000"/>
                <w:kern w:val="0"/>
                <w:sz w:val="18"/>
                <w:szCs w:val="18"/>
              </w:rPr>
            </w:pPr>
            <w:r>
              <w:rPr>
                <w:rFonts w:eastAsia="仿宋_GB2312"/>
                <w:color w:val="000000"/>
                <w:kern w:val="0"/>
                <w:sz w:val="18"/>
                <w:szCs w:val="18"/>
              </w:rPr>
              <w:t>实施效益</w:t>
            </w:r>
          </w:p>
        </w:tc>
        <w:tc>
          <w:tcPr>
            <w:tcW w:w="1726" w:type="dxa"/>
            <w:shd w:val="clear" w:color="auto" w:fill="FFFFFF"/>
            <w:vAlign w:val="center"/>
          </w:tcPr>
          <w:p w14:paraId="2151BDAF">
            <w:pPr>
              <w:widowControl/>
              <w:spacing w:line="0" w:lineRule="atLeast"/>
              <w:jc w:val="left"/>
              <w:rPr>
                <w:rFonts w:eastAsia="仿宋_GB2312"/>
                <w:color w:val="000000"/>
                <w:kern w:val="0"/>
                <w:sz w:val="18"/>
                <w:szCs w:val="18"/>
              </w:rPr>
            </w:pPr>
            <w:r>
              <w:rPr>
                <w:rFonts w:eastAsia="仿宋_GB2312"/>
                <w:color w:val="000000"/>
                <w:kern w:val="0"/>
                <w:sz w:val="18"/>
                <w:szCs w:val="18"/>
              </w:rPr>
              <w:t>项目实施所产生的效益。</w:t>
            </w:r>
          </w:p>
        </w:tc>
        <w:tc>
          <w:tcPr>
            <w:tcW w:w="5216" w:type="dxa"/>
            <w:shd w:val="clear" w:color="auto" w:fill="FFFFFF"/>
            <w:vAlign w:val="center"/>
          </w:tcPr>
          <w:p w14:paraId="4EE20C50">
            <w:pPr>
              <w:widowControl/>
              <w:spacing w:line="0" w:lineRule="atLeast"/>
              <w:rPr>
                <w:rFonts w:eastAsia="仿宋_GB2312"/>
                <w:color w:val="000000"/>
                <w:kern w:val="0"/>
                <w:sz w:val="18"/>
                <w:szCs w:val="18"/>
              </w:rPr>
            </w:pPr>
            <w:r>
              <w:rPr>
                <w:rFonts w:eastAsia="仿宋_GB2312"/>
                <w:color w:val="000000"/>
                <w:kern w:val="0"/>
                <w:sz w:val="18"/>
                <w:szCs w:val="18"/>
              </w:rPr>
              <w:t>项目实施所产生的社会效益、经济效益、生态效益、可持续影响等。可根据项目实际情况有选择地设置和细化。</w:t>
            </w:r>
          </w:p>
        </w:tc>
        <w:tc>
          <w:tcPr>
            <w:tcW w:w="1300" w:type="dxa"/>
            <w:shd w:val="clear" w:color="auto" w:fill="FFFFFF"/>
            <w:vAlign w:val="center"/>
          </w:tcPr>
          <w:p w14:paraId="195AA038">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6" w:type="dxa"/>
            <w:shd w:val="clear" w:color="auto" w:fill="FFFFFF"/>
            <w:vAlign w:val="center"/>
          </w:tcPr>
          <w:p w14:paraId="4043BF2F">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14:paraId="163C5F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7" w:hRule="atLeast"/>
          <w:jc w:val="center"/>
        </w:trPr>
        <w:tc>
          <w:tcPr>
            <w:tcW w:w="1004" w:type="dxa"/>
            <w:vMerge w:val="continue"/>
            <w:shd w:val="clear" w:color="auto" w:fill="FFFFFF"/>
            <w:vAlign w:val="center"/>
          </w:tcPr>
          <w:p w14:paraId="69C64C50">
            <w:pPr>
              <w:widowControl/>
              <w:spacing w:line="0" w:lineRule="atLeast"/>
              <w:jc w:val="center"/>
              <w:rPr>
                <w:rFonts w:eastAsia="仿宋_GB2312"/>
                <w:color w:val="000000"/>
                <w:kern w:val="0"/>
                <w:sz w:val="18"/>
                <w:szCs w:val="18"/>
              </w:rPr>
            </w:pPr>
          </w:p>
        </w:tc>
        <w:tc>
          <w:tcPr>
            <w:tcW w:w="1000" w:type="dxa"/>
            <w:vMerge w:val="continue"/>
            <w:shd w:val="clear" w:color="auto" w:fill="FFFFFF"/>
            <w:vAlign w:val="center"/>
          </w:tcPr>
          <w:p w14:paraId="2FE8D911">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29992205">
            <w:pPr>
              <w:widowControl/>
              <w:spacing w:line="0" w:lineRule="atLeast"/>
              <w:jc w:val="center"/>
              <w:rPr>
                <w:rFonts w:eastAsia="仿宋_GB2312"/>
                <w:color w:val="000000"/>
                <w:kern w:val="0"/>
                <w:sz w:val="18"/>
                <w:szCs w:val="18"/>
              </w:rPr>
            </w:pPr>
            <w:r>
              <w:rPr>
                <w:rFonts w:eastAsia="仿宋_GB2312"/>
                <w:color w:val="000000"/>
                <w:kern w:val="0"/>
                <w:sz w:val="18"/>
                <w:szCs w:val="18"/>
              </w:rPr>
              <w:t>满意度</w:t>
            </w:r>
          </w:p>
        </w:tc>
        <w:tc>
          <w:tcPr>
            <w:tcW w:w="1726" w:type="dxa"/>
            <w:shd w:val="clear" w:color="000000" w:fill="FFFFFF"/>
            <w:vAlign w:val="center"/>
          </w:tcPr>
          <w:p w14:paraId="11DC73C6">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社会公众或服务对象对项目实施效果的满意程度。</w:t>
            </w:r>
          </w:p>
        </w:tc>
        <w:tc>
          <w:tcPr>
            <w:tcW w:w="5216" w:type="dxa"/>
            <w:shd w:val="clear" w:color="000000" w:fill="FFFFFF"/>
            <w:vAlign w:val="center"/>
          </w:tcPr>
          <w:p w14:paraId="6832C2D9">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社会公众或服务对象是指因该项目实施而受到影响的部门（单位）、群体或个人。一般采取社会调查的方式。</w:t>
            </w:r>
          </w:p>
        </w:tc>
        <w:tc>
          <w:tcPr>
            <w:tcW w:w="1300" w:type="dxa"/>
            <w:shd w:val="clear" w:color="000000" w:fill="FFFFFF"/>
            <w:vAlign w:val="center"/>
          </w:tcPr>
          <w:p w14:paraId="555D88E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6" w:type="dxa"/>
            <w:shd w:val="clear" w:color="000000" w:fill="FFFFFF"/>
            <w:vAlign w:val="center"/>
          </w:tcPr>
          <w:p w14:paraId="31283C11">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bl>
    <w:p w14:paraId="6FDBE9F2">
      <w:pPr>
        <w:sectPr>
          <w:pgSz w:w="16838" w:h="11906" w:orient="landscape"/>
          <w:pgMar w:top="1800" w:right="1440" w:bottom="1558" w:left="1440" w:header="851" w:footer="992" w:gutter="0"/>
          <w:cols w:space="425" w:num="1"/>
          <w:docGrid w:type="lines" w:linePitch="312" w:charSpace="0"/>
        </w:sectPr>
      </w:pPr>
    </w:p>
    <w:p w14:paraId="2FB3A218">
      <w:pPr>
        <w:spacing w:line="600" w:lineRule="exact"/>
        <w:rPr>
          <w:rFonts w:eastAsia="黑体"/>
          <w:sz w:val="32"/>
          <w:szCs w:val="32"/>
        </w:rPr>
      </w:pPr>
      <w:r>
        <w:rPr>
          <w:rFonts w:hint="eastAsia" w:eastAsia="黑体"/>
          <w:sz w:val="32"/>
          <w:szCs w:val="32"/>
        </w:rPr>
        <w:t>附件2</w:t>
      </w:r>
    </w:p>
    <w:p w14:paraId="182FEC28">
      <w:pPr>
        <w:spacing w:line="240" w:lineRule="atLeast"/>
        <w:jc w:val="center"/>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32"/>
          <w:szCs w:val="28"/>
        </w:rPr>
        <w:t>项目支出绩效自评</w:t>
      </w:r>
      <w:r>
        <w:rPr>
          <w:rFonts w:hint="eastAsia" w:ascii="仿宋_GB2312" w:hAnsi="仿宋_GB2312" w:eastAsia="仿宋_GB2312" w:cs="仿宋_GB2312"/>
          <w:b/>
          <w:bCs/>
          <w:color w:val="000000"/>
          <w:kern w:val="0"/>
          <w:sz w:val="28"/>
          <w:szCs w:val="28"/>
        </w:rPr>
        <w:t>表</w:t>
      </w:r>
    </w:p>
    <w:p w14:paraId="1AFE3BB1">
      <w:pPr>
        <w:spacing w:line="240" w:lineRule="atLeast"/>
        <w:jc w:val="center"/>
        <w:rPr>
          <w:rFonts w:eastAsia="仿宋_GB2312"/>
          <w:b/>
          <w:bCs/>
          <w:color w:val="000000"/>
          <w:kern w:val="0"/>
          <w:sz w:val="22"/>
          <w:szCs w:val="22"/>
        </w:rPr>
      </w:pPr>
      <w:r>
        <w:rPr>
          <w:rFonts w:eastAsia="仿宋_GB2312"/>
          <w:b/>
          <w:bCs/>
          <w:color w:val="000000"/>
          <w:kern w:val="0"/>
          <w:sz w:val="22"/>
          <w:szCs w:val="22"/>
        </w:rPr>
        <w:t>（ 2024年度）</w:t>
      </w:r>
    </w:p>
    <w:tbl>
      <w:tblPr>
        <w:tblStyle w:val="13"/>
        <w:tblW w:w="14200" w:type="dxa"/>
        <w:tblInd w:w="93" w:type="dxa"/>
        <w:tblLayout w:type="fixed"/>
        <w:tblCellMar>
          <w:top w:w="0" w:type="dxa"/>
          <w:left w:w="108" w:type="dxa"/>
          <w:bottom w:w="0" w:type="dxa"/>
          <w:right w:w="108" w:type="dxa"/>
        </w:tblCellMar>
      </w:tblPr>
      <w:tblGrid>
        <w:gridCol w:w="983"/>
        <w:gridCol w:w="982"/>
        <w:gridCol w:w="982"/>
        <w:gridCol w:w="1972"/>
        <w:gridCol w:w="995"/>
        <w:gridCol w:w="982"/>
        <w:gridCol w:w="985"/>
        <w:gridCol w:w="749"/>
        <w:gridCol w:w="710"/>
        <w:gridCol w:w="691"/>
        <w:gridCol w:w="998"/>
        <w:gridCol w:w="916"/>
        <w:gridCol w:w="680"/>
        <w:gridCol w:w="1575"/>
      </w:tblGrid>
      <w:tr w14:paraId="3AF9C86B">
        <w:tblPrEx>
          <w:tblCellMar>
            <w:top w:w="0" w:type="dxa"/>
            <w:left w:w="108" w:type="dxa"/>
            <w:bottom w:w="0" w:type="dxa"/>
            <w:right w:w="108" w:type="dxa"/>
          </w:tblCellMar>
        </w:tblPrEx>
        <w:trPr>
          <w:trHeight w:val="410" w:hRule="atLeast"/>
        </w:trPr>
        <w:tc>
          <w:tcPr>
            <w:tcW w:w="19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78547B">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2235" w:type="dxa"/>
            <w:gridSpan w:val="12"/>
            <w:tcBorders>
              <w:top w:val="single" w:color="auto" w:sz="4" w:space="0"/>
              <w:left w:val="nil"/>
              <w:bottom w:val="single" w:color="auto" w:sz="4" w:space="0"/>
              <w:right w:val="single" w:color="auto" w:sz="4" w:space="0"/>
            </w:tcBorders>
            <w:shd w:val="clear" w:color="auto" w:fill="auto"/>
            <w:vAlign w:val="center"/>
          </w:tcPr>
          <w:p w14:paraId="40A455D9">
            <w:pPr>
              <w:widowControl/>
              <w:jc w:val="center"/>
              <w:rPr>
                <w:rFonts w:ascii="宋体" w:hAnsi="宋体" w:cs="宋体"/>
                <w:color w:val="000000"/>
                <w:kern w:val="0"/>
                <w:sz w:val="18"/>
                <w:szCs w:val="18"/>
              </w:rPr>
            </w:pPr>
            <w:r>
              <w:rPr>
                <w:rFonts w:hint="eastAsia" w:ascii="宋体" w:hAnsi="宋体" w:cs="宋体"/>
                <w:color w:val="000000"/>
                <w:kern w:val="0"/>
                <w:sz w:val="18"/>
                <w:szCs w:val="18"/>
              </w:rPr>
              <w:t>巴财社[2023]83号关于提前下达2024年自治区财政残疾人事业发展补助资金</w:t>
            </w:r>
          </w:p>
        </w:tc>
      </w:tr>
      <w:tr w14:paraId="14FBB23B">
        <w:tblPrEx>
          <w:tblCellMar>
            <w:top w:w="0" w:type="dxa"/>
            <w:left w:w="108" w:type="dxa"/>
            <w:bottom w:w="0" w:type="dxa"/>
            <w:right w:w="108" w:type="dxa"/>
          </w:tblCellMar>
        </w:tblPrEx>
        <w:trPr>
          <w:trHeight w:val="450" w:hRule="atLeast"/>
        </w:trPr>
        <w:tc>
          <w:tcPr>
            <w:tcW w:w="19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DB1B3D">
            <w:pPr>
              <w:widowControl/>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916" w:type="dxa"/>
            <w:gridSpan w:val="5"/>
            <w:tcBorders>
              <w:top w:val="single" w:color="auto" w:sz="4" w:space="0"/>
              <w:left w:val="nil"/>
              <w:bottom w:val="single" w:color="auto" w:sz="4" w:space="0"/>
              <w:right w:val="single" w:color="auto" w:sz="4" w:space="0"/>
            </w:tcBorders>
            <w:shd w:val="clear" w:color="auto" w:fill="auto"/>
            <w:vAlign w:val="center"/>
          </w:tcPr>
          <w:p w14:paraId="64B742BD">
            <w:pPr>
              <w:widowControl/>
              <w:jc w:val="center"/>
              <w:rPr>
                <w:rFonts w:ascii="宋体" w:hAnsi="宋体" w:cs="宋体"/>
                <w:color w:val="000000"/>
                <w:kern w:val="0"/>
                <w:sz w:val="18"/>
                <w:szCs w:val="18"/>
              </w:rPr>
            </w:pPr>
            <w:r>
              <w:rPr>
                <w:rFonts w:hint="eastAsia" w:ascii="宋体" w:hAnsi="宋体" w:cs="宋体"/>
                <w:color w:val="000000"/>
                <w:kern w:val="0"/>
                <w:sz w:val="18"/>
                <w:szCs w:val="18"/>
              </w:rPr>
              <w:t>博湖县残疾人联合会</w:t>
            </w:r>
          </w:p>
        </w:tc>
        <w:tc>
          <w:tcPr>
            <w:tcW w:w="1459" w:type="dxa"/>
            <w:gridSpan w:val="2"/>
            <w:tcBorders>
              <w:top w:val="single" w:color="auto" w:sz="4" w:space="0"/>
              <w:left w:val="nil"/>
              <w:bottom w:val="single" w:color="auto" w:sz="4" w:space="0"/>
              <w:right w:val="single" w:color="auto" w:sz="4" w:space="0"/>
            </w:tcBorders>
            <w:shd w:val="clear" w:color="auto" w:fill="auto"/>
            <w:vAlign w:val="center"/>
          </w:tcPr>
          <w:p w14:paraId="533919D8">
            <w:pPr>
              <w:widowControl/>
              <w:jc w:val="center"/>
              <w:rPr>
                <w:rFonts w:ascii="宋体" w:hAnsi="宋体" w:cs="宋体"/>
                <w:color w:val="000000"/>
                <w:kern w:val="0"/>
                <w:sz w:val="18"/>
                <w:szCs w:val="18"/>
              </w:rPr>
            </w:pPr>
            <w:r>
              <w:rPr>
                <w:rFonts w:hint="eastAsia" w:ascii="宋体" w:hAnsi="宋体" w:cs="宋体"/>
                <w:color w:val="000000"/>
                <w:kern w:val="0"/>
                <w:sz w:val="18"/>
                <w:szCs w:val="18"/>
              </w:rPr>
              <w:t>实施单位</w:t>
            </w:r>
          </w:p>
        </w:tc>
        <w:tc>
          <w:tcPr>
            <w:tcW w:w="4860" w:type="dxa"/>
            <w:gridSpan w:val="5"/>
            <w:tcBorders>
              <w:top w:val="single" w:color="auto" w:sz="4" w:space="0"/>
              <w:left w:val="nil"/>
              <w:bottom w:val="single" w:color="auto" w:sz="4" w:space="0"/>
              <w:right w:val="single" w:color="auto" w:sz="4" w:space="0"/>
            </w:tcBorders>
            <w:shd w:val="clear" w:color="auto" w:fill="auto"/>
            <w:vAlign w:val="center"/>
          </w:tcPr>
          <w:p w14:paraId="43901AEC">
            <w:pPr>
              <w:widowControl/>
              <w:jc w:val="center"/>
              <w:rPr>
                <w:rFonts w:ascii="宋体" w:hAnsi="宋体" w:cs="宋体"/>
                <w:color w:val="000000"/>
                <w:kern w:val="0"/>
                <w:sz w:val="18"/>
                <w:szCs w:val="18"/>
              </w:rPr>
            </w:pPr>
            <w:r>
              <w:rPr>
                <w:rFonts w:hint="eastAsia" w:ascii="宋体" w:hAnsi="宋体" w:cs="宋体"/>
                <w:color w:val="000000"/>
                <w:kern w:val="0"/>
                <w:sz w:val="18"/>
                <w:szCs w:val="18"/>
              </w:rPr>
              <w:t>博湖县残疾人联合会</w:t>
            </w:r>
          </w:p>
        </w:tc>
      </w:tr>
      <w:tr w14:paraId="12B546F4">
        <w:tblPrEx>
          <w:tblCellMar>
            <w:top w:w="0" w:type="dxa"/>
            <w:left w:w="108" w:type="dxa"/>
            <w:bottom w:w="0" w:type="dxa"/>
            <w:right w:w="108" w:type="dxa"/>
          </w:tblCellMar>
        </w:tblPrEx>
        <w:trPr>
          <w:trHeight w:val="440" w:hRule="atLeast"/>
        </w:trPr>
        <w:tc>
          <w:tcPr>
            <w:tcW w:w="19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D80C9F">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项目资金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（万元）</w:t>
            </w:r>
          </w:p>
        </w:tc>
        <w:tc>
          <w:tcPr>
            <w:tcW w:w="2954" w:type="dxa"/>
            <w:gridSpan w:val="2"/>
            <w:tcBorders>
              <w:top w:val="single" w:color="auto" w:sz="4" w:space="0"/>
              <w:left w:val="nil"/>
              <w:bottom w:val="single" w:color="auto" w:sz="4" w:space="0"/>
              <w:right w:val="single" w:color="auto" w:sz="4" w:space="0"/>
            </w:tcBorders>
            <w:shd w:val="clear" w:color="auto" w:fill="auto"/>
            <w:vAlign w:val="center"/>
          </w:tcPr>
          <w:p w14:paraId="79A1D5ED">
            <w:pPr>
              <w:widowControl/>
              <w:jc w:val="center"/>
              <w:rPr>
                <w:rFonts w:ascii="宋体" w:hAnsi="宋体" w:cs="宋体"/>
                <w:color w:val="000000"/>
                <w:kern w:val="0"/>
                <w:sz w:val="18"/>
                <w:szCs w:val="18"/>
              </w:rPr>
            </w:pPr>
            <w:r>
              <w:rPr>
                <w:rFonts w:hint="eastAsia" w:ascii="宋体" w:hAnsi="宋体" w:cs="宋体"/>
                <w:color w:val="000000"/>
                <w:kern w:val="0"/>
                <w:sz w:val="18"/>
                <w:szCs w:val="18"/>
              </w:rPr>
              <w:t>资金来源</w:t>
            </w:r>
          </w:p>
        </w:tc>
        <w:tc>
          <w:tcPr>
            <w:tcW w:w="995" w:type="dxa"/>
            <w:tcBorders>
              <w:top w:val="nil"/>
              <w:left w:val="nil"/>
              <w:bottom w:val="single" w:color="auto" w:sz="4" w:space="0"/>
              <w:right w:val="single" w:color="auto" w:sz="4" w:space="0"/>
            </w:tcBorders>
            <w:shd w:val="clear" w:color="auto" w:fill="auto"/>
            <w:vAlign w:val="center"/>
          </w:tcPr>
          <w:p w14:paraId="7D2603AC">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年初预算数</w:t>
            </w:r>
          </w:p>
        </w:tc>
        <w:tc>
          <w:tcPr>
            <w:tcW w:w="1967" w:type="dxa"/>
            <w:gridSpan w:val="2"/>
            <w:tcBorders>
              <w:top w:val="single" w:color="auto" w:sz="4" w:space="0"/>
              <w:left w:val="nil"/>
              <w:bottom w:val="single" w:color="auto" w:sz="4" w:space="0"/>
              <w:right w:val="single" w:color="auto" w:sz="4" w:space="0"/>
            </w:tcBorders>
            <w:shd w:val="clear" w:color="auto" w:fill="auto"/>
            <w:vAlign w:val="center"/>
          </w:tcPr>
          <w:p w14:paraId="1CFCD36B">
            <w:pPr>
              <w:widowControl/>
              <w:jc w:val="center"/>
              <w:rPr>
                <w:rFonts w:ascii="宋体" w:hAnsi="宋体" w:cs="宋体"/>
                <w:color w:val="000000"/>
                <w:kern w:val="0"/>
                <w:sz w:val="18"/>
                <w:szCs w:val="18"/>
              </w:rPr>
            </w:pPr>
            <w:r>
              <w:rPr>
                <w:rFonts w:hint="eastAsia" w:ascii="宋体" w:hAnsi="宋体" w:cs="宋体"/>
                <w:color w:val="000000"/>
                <w:kern w:val="0"/>
                <w:sz w:val="18"/>
                <w:szCs w:val="18"/>
              </w:rPr>
              <w:t>全年预算数</w:t>
            </w:r>
          </w:p>
        </w:tc>
        <w:tc>
          <w:tcPr>
            <w:tcW w:w="1459" w:type="dxa"/>
            <w:gridSpan w:val="2"/>
            <w:tcBorders>
              <w:top w:val="single" w:color="auto" w:sz="4" w:space="0"/>
              <w:left w:val="nil"/>
              <w:bottom w:val="single" w:color="auto" w:sz="4" w:space="0"/>
              <w:right w:val="single" w:color="auto" w:sz="4" w:space="0"/>
            </w:tcBorders>
            <w:shd w:val="clear" w:color="auto" w:fill="auto"/>
            <w:vAlign w:val="center"/>
          </w:tcPr>
          <w:p w14:paraId="11129B58">
            <w:pPr>
              <w:widowControl/>
              <w:jc w:val="center"/>
              <w:rPr>
                <w:rFonts w:ascii="宋体" w:hAnsi="宋体" w:cs="宋体"/>
                <w:color w:val="000000"/>
                <w:kern w:val="0"/>
                <w:sz w:val="18"/>
                <w:szCs w:val="18"/>
              </w:rPr>
            </w:pPr>
            <w:r>
              <w:rPr>
                <w:rFonts w:hint="eastAsia" w:ascii="宋体" w:hAnsi="宋体" w:cs="宋体"/>
                <w:color w:val="000000"/>
                <w:kern w:val="0"/>
                <w:sz w:val="18"/>
                <w:szCs w:val="18"/>
              </w:rPr>
              <w:t>全年执行数</w:t>
            </w:r>
          </w:p>
        </w:tc>
        <w:tc>
          <w:tcPr>
            <w:tcW w:w="1689" w:type="dxa"/>
            <w:gridSpan w:val="2"/>
            <w:tcBorders>
              <w:top w:val="single" w:color="auto" w:sz="4" w:space="0"/>
              <w:left w:val="nil"/>
              <w:bottom w:val="single" w:color="auto" w:sz="4" w:space="0"/>
              <w:right w:val="single" w:color="auto" w:sz="4" w:space="0"/>
            </w:tcBorders>
            <w:shd w:val="clear" w:color="auto" w:fill="auto"/>
            <w:vAlign w:val="center"/>
          </w:tcPr>
          <w:p w14:paraId="22CC1B05">
            <w:pPr>
              <w:widowControl/>
              <w:jc w:val="center"/>
              <w:rPr>
                <w:rFonts w:ascii="宋体" w:hAnsi="宋体" w:cs="宋体"/>
                <w:color w:val="000000"/>
                <w:kern w:val="0"/>
                <w:sz w:val="18"/>
                <w:szCs w:val="18"/>
              </w:rPr>
            </w:pPr>
            <w:r>
              <w:rPr>
                <w:rFonts w:hint="eastAsia" w:ascii="宋体" w:hAnsi="宋体" w:cs="宋体"/>
                <w:color w:val="000000"/>
                <w:kern w:val="0"/>
                <w:sz w:val="18"/>
                <w:szCs w:val="18"/>
              </w:rPr>
              <w:t>分值权重</w:t>
            </w:r>
          </w:p>
        </w:tc>
        <w:tc>
          <w:tcPr>
            <w:tcW w:w="1596" w:type="dxa"/>
            <w:gridSpan w:val="2"/>
            <w:tcBorders>
              <w:top w:val="single" w:color="auto" w:sz="4" w:space="0"/>
              <w:left w:val="nil"/>
              <w:bottom w:val="single" w:color="auto" w:sz="4" w:space="0"/>
              <w:right w:val="single" w:color="auto" w:sz="4" w:space="0"/>
            </w:tcBorders>
            <w:shd w:val="clear" w:color="auto" w:fill="auto"/>
            <w:vAlign w:val="center"/>
          </w:tcPr>
          <w:p w14:paraId="15C8E9C4">
            <w:pPr>
              <w:widowControl/>
              <w:jc w:val="center"/>
              <w:rPr>
                <w:rFonts w:ascii="宋体" w:hAnsi="宋体" w:cs="宋体"/>
                <w:color w:val="000000"/>
                <w:kern w:val="0"/>
                <w:sz w:val="18"/>
                <w:szCs w:val="18"/>
              </w:rPr>
            </w:pPr>
            <w:r>
              <w:rPr>
                <w:rFonts w:hint="eastAsia" w:ascii="宋体" w:hAnsi="宋体" w:cs="宋体"/>
                <w:color w:val="000000"/>
                <w:kern w:val="0"/>
                <w:sz w:val="18"/>
                <w:szCs w:val="18"/>
              </w:rPr>
              <w:t>执行率</w:t>
            </w:r>
          </w:p>
        </w:tc>
        <w:tc>
          <w:tcPr>
            <w:tcW w:w="1575" w:type="dxa"/>
            <w:tcBorders>
              <w:top w:val="nil"/>
              <w:left w:val="nil"/>
              <w:bottom w:val="single" w:color="auto" w:sz="4" w:space="0"/>
              <w:right w:val="single" w:color="auto" w:sz="4" w:space="0"/>
            </w:tcBorders>
            <w:shd w:val="clear" w:color="auto" w:fill="auto"/>
            <w:vAlign w:val="center"/>
          </w:tcPr>
          <w:p w14:paraId="2C329BF2">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r>
      <w:tr w14:paraId="718FE771">
        <w:tblPrEx>
          <w:tblCellMar>
            <w:top w:w="0" w:type="dxa"/>
            <w:left w:w="108" w:type="dxa"/>
            <w:bottom w:w="0" w:type="dxa"/>
            <w:right w:w="108" w:type="dxa"/>
          </w:tblCellMar>
        </w:tblPrEx>
        <w:trPr>
          <w:trHeight w:val="440" w:hRule="atLeast"/>
        </w:trPr>
        <w:tc>
          <w:tcPr>
            <w:tcW w:w="1965" w:type="dxa"/>
            <w:gridSpan w:val="2"/>
            <w:vMerge w:val="continue"/>
            <w:tcBorders>
              <w:top w:val="single" w:color="auto" w:sz="4" w:space="0"/>
              <w:left w:val="single" w:color="auto" w:sz="4" w:space="0"/>
              <w:bottom w:val="single" w:color="auto" w:sz="4" w:space="0"/>
              <w:right w:val="single" w:color="auto" w:sz="4" w:space="0"/>
            </w:tcBorders>
            <w:vAlign w:val="center"/>
          </w:tcPr>
          <w:p w14:paraId="7237604F">
            <w:pPr>
              <w:widowControl/>
              <w:jc w:val="left"/>
              <w:rPr>
                <w:rFonts w:ascii="宋体" w:hAnsi="宋体" w:cs="宋体"/>
                <w:color w:val="000000"/>
                <w:kern w:val="0"/>
                <w:sz w:val="18"/>
                <w:szCs w:val="18"/>
              </w:rPr>
            </w:pPr>
          </w:p>
        </w:tc>
        <w:tc>
          <w:tcPr>
            <w:tcW w:w="2954" w:type="dxa"/>
            <w:gridSpan w:val="2"/>
            <w:tcBorders>
              <w:top w:val="single" w:color="auto" w:sz="4" w:space="0"/>
              <w:left w:val="nil"/>
              <w:bottom w:val="single" w:color="auto" w:sz="4" w:space="0"/>
              <w:right w:val="single" w:color="auto" w:sz="4" w:space="0"/>
            </w:tcBorders>
            <w:shd w:val="clear" w:color="auto" w:fill="auto"/>
            <w:vAlign w:val="center"/>
          </w:tcPr>
          <w:p w14:paraId="2C558135">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年度资金总额</w:t>
            </w:r>
          </w:p>
        </w:tc>
        <w:tc>
          <w:tcPr>
            <w:tcW w:w="995" w:type="dxa"/>
            <w:tcBorders>
              <w:top w:val="nil"/>
              <w:left w:val="nil"/>
              <w:bottom w:val="single" w:color="auto" w:sz="4" w:space="0"/>
              <w:right w:val="single" w:color="auto" w:sz="4" w:space="0"/>
            </w:tcBorders>
            <w:shd w:val="clear" w:color="auto" w:fill="auto"/>
            <w:vAlign w:val="center"/>
          </w:tcPr>
          <w:p w14:paraId="60F3EDE4">
            <w:pPr>
              <w:widowControl/>
              <w:jc w:val="center"/>
              <w:rPr>
                <w:rFonts w:ascii="宋体" w:hAnsi="宋体" w:cs="宋体"/>
                <w:color w:val="000000"/>
                <w:kern w:val="0"/>
                <w:sz w:val="18"/>
                <w:szCs w:val="18"/>
              </w:rPr>
            </w:pPr>
            <w:r>
              <w:rPr>
                <w:rFonts w:hint="eastAsia" w:ascii="宋体" w:hAnsi="宋体" w:cs="宋体"/>
                <w:color w:val="000000"/>
                <w:kern w:val="0"/>
                <w:sz w:val="18"/>
                <w:szCs w:val="18"/>
              </w:rPr>
              <w:t>18.31</w:t>
            </w:r>
          </w:p>
        </w:tc>
        <w:tc>
          <w:tcPr>
            <w:tcW w:w="1967" w:type="dxa"/>
            <w:gridSpan w:val="2"/>
            <w:tcBorders>
              <w:top w:val="single" w:color="auto" w:sz="4" w:space="0"/>
              <w:left w:val="nil"/>
              <w:bottom w:val="single" w:color="auto" w:sz="4" w:space="0"/>
              <w:right w:val="single" w:color="auto" w:sz="4" w:space="0"/>
            </w:tcBorders>
            <w:shd w:val="clear" w:color="auto" w:fill="auto"/>
            <w:vAlign w:val="center"/>
          </w:tcPr>
          <w:p w14:paraId="0F6639D8">
            <w:pPr>
              <w:widowControl/>
              <w:jc w:val="center"/>
              <w:rPr>
                <w:rFonts w:ascii="宋体" w:hAnsi="宋体" w:cs="宋体"/>
                <w:color w:val="000000"/>
                <w:kern w:val="0"/>
                <w:sz w:val="18"/>
                <w:szCs w:val="18"/>
              </w:rPr>
            </w:pPr>
            <w:r>
              <w:rPr>
                <w:rFonts w:hint="eastAsia" w:ascii="宋体" w:hAnsi="宋体" w:cs="宋体"/>
                <w:color w:val="000000"/>
                <w:kern w:val="0"/>
                <w:sz w:val="18"/>
                <w:szCs w:val="18"/>
              </w:rPr>
              <w:t>1.63</w:t>
            </w:r>
          </w:p>
        </w:tc>
        <w:tc>
          <w:tcPr>
            <w:tcW w:w="1459" w:type="dxa"/>
            <w:gridSpan w:val="2"/>
            <w:tcBorders>
              <w:top w:val="single" w:color="auto" w:sz="4" w:space="0"/>
              <w:left w:val="nil"/>
              <w:bottom w:val="single" w:color="auto" w:sz="4" w:space="0"/>
              <w:right w:val="single" w:color="auto" w:sz="4" w:space="0"/>
            </w:tcBorders>
            <w:shd w:val="clear" w:color="auto" w:fill="auto"/>
            <w:vAlign w:val="center"/>
          </w:tcPr>
          <w:p w14:paraId="7D663F06">
            <w:pPr>
              <w:widowControl/>
              <w:jc w:val="center"/>
              <w:rPr>
                <w:rFonts w:ascii="宋体" w:hAnsi="宋体" w:cs="宋体"/>
                <w:color w:val="000000"/>
                <w:kern w:val="0"/>
                <w:sz w:val="18"/>
                <w:szCs w:val="18"/>
              </w:rPr>
            </w:pPr>
            <w:r>
              <w:rPr>
                <w:rFonts w:hint="eastAsia" w:ascii="宋体" w:hAnsi="宋体" w:cs="宋体"/>
                <w:color w:val="000000"/>
                <w:kern w:val="0"/>
                <w:sz w:val="18"/>
                <w:szCs w:val="18"/>
              </w:rPr>
              <w:t>1.25</w:t>
            </w:r>
          </w:p>
        </w:tc>
        <w:tc>
          <w:tcPr>
            <w:tcW w:w="1689" w:type="dxa"/>
            <w:gridSpan w:val="2"/>
            <w:tcBorders>
              <w:top w:val="single" w:color="auto" w:sz="4" w:space="0"/>
              <w:left w:val="nil"/>
              <w:bottom w:val="single" w:color="auto" w:sz="4" w:space="0"/>
              <w:right w:val="single" w:color="auto" w:sz="4" w:space="0"/>
            </w:tcBorders>
            <w:shd w:val="clear" w:color="auto" w:fill="auto"/>
            <w:vAlign w:val="center"/>
          </w:tcPr>
          <w:p w14:paraId="59C59729">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596" w:type="dxa"/>
            <w:gridSpan w:val="2"/>
            <w:tcBorders>
              <w:top w:val="single" w:color="auto" w:sz="4" w:space="0"/>
              <w:left w:val="nil"/>
              <w:bottom w:val="single" w:color="auto" w:sz="4" w:space="0"/>
              <w:right w:val="single" w:color="auto" w:sz="4" w:space="0"/>
            </w:tcBorders>
            <w:shd w:val="clear" w:color="auto" w:fill="auto"/>
            <w:vAlign w:val="center"/>
          </w:tcPr>
          <w:p w14:paraId="572D7D27">
            <w:pPr>
              <w:widowControl/>
              <w:jc w:val="center"/>
              <w:rPr>
                <w:rFonts w:ascii="宋体" w:hAnsi="宋体" w:cs="宋体"/>
                <w:color w:val="000000"/>
                <w:kern w:val="0"/>
                <w:sz w:val="18"/>
                <w:szCs w:val="18"/>
              </w:rPr>
            </w:pPr>
            <w:r>
              <w:rPr>
                <w:rFonts w:hint="eastAsia" w:ascii="宋体" w:hAnsi="宋体" w:cs="宋体"/>
                <w:color w:val="000000"/>
                <w:kern w:val="0"/>
                <w:sz w:val="18"/>
                <w:szCs w:val="18"/>
              </w:rPr>
              <w:t>76.69%</w:t>
            </w:r>
          </w:p>
        </w:tc>
        <w:tc>
          <w:tcPr>
            <w:tcW w:w="1575" w:type="dxa"/>
            <w:tcBorders>
              <w:top w:val="nil"/>
              <w:left w:val="nil"/>
              <w:bottom w:val="single" w:color="auto" w:sz="4" w:space="0"/>
              <w:right w:val="single" w:color="auto" w:sz="4" w:space="0"/>
            </w:tcBorders>
            <w:shd w:val="clear" w:color="auto" w:fill="auto"/>
            <w:vAlign w:val="center"/>
          </w:tcPr>
          <w:p w14:paraId="4B0A9870">
            <w:pPr>
              <w:widowControl/>
              <w:jc w:val="center"/>
              <w:rPr>
                <w:rFonts w:ascii="宋体" w:hAnsi="宋体" w:cs="宋体"/>
                <w:color w:val="000000"/>
                <w:kern w:val="0"/>
                <w:sz w:val="18"/>
                <w:szCs w:val="18"/>
              </w:rPr>
            </w:pPr>
            <w:r>
              <w:rPr>
                <w:rFonts w:hint="eastAsia" w:ascii="宋体" w:hAnsi="宋体" w:cs="宋体"/>
                <w:color w:val="000000"/>
                <w:kern w:val="0"/>
                <w:sz w:val="18"/>
                <w:szCs w:val="18"/>
              </w:rPr>
              <w:t>4.17</w:t>
            </w:r>
          </w:p>
        </w:tc>
      </w:tr>
      <w:tr w14:paraId="5C2CE3E2">
        <w:tblPrEx>
          <w:tblCellMar>
            <w:top w:w="0" w:type="dxa"/>
            <w:left w:w="108" w:type="dxa"/>
            <w:bottom w:w="0" w:type="dxa"/>
            <w:right w:w="108" w:type="dxa"/>
          </w:tblCellMar>
        </w:tblPrEx>
        <w:trPr>
          <w:trHeight w:val="440" w:hRule="atLeast"/>
        </w:trPr>
        <w:tc>
          <w:tcPr>
            <w:tcW w:w="1965" w:type="dxa"/>
            <w:gridSpan w:val="2"/>
            <w:vMerge w:val="continue"/>
            <w:tcBorders>
              <w:top w:val="single" w:color="auto" w:sz="4" w:space="0"/>
              <w:left w:val="single" w:color="auto" w:sz="4" w:space="0"/>
              <w:bottom w:val="single" w:color="auto" w:sz="4" w:space="0"/>
              <w:right w:val="single" w:color="auto" w:sz="4" w:space="0"/>
            </w:tcBorders>
            <w:vAlign w:val="center"/>
          </w:tcPr>
          <w:p w14:paraId="14804B81">
            <w:pPr>
              <w:widowControl/>
              <w:jc w:val="left"/>
              <w:rPr>
                <w:rFonts w:ascii="宋体" w:hAnsi="宋体" w:cs="宋体"/>
                <w:color w:val="000000"/>
                <w:kern w:val="0"/>
                <w:sz w:val="18"/>
                <w:szCs w:val="18"/>
              </w:rPr>
            </w:pPr>
          </w:p>
        </w:tc>
        <w:tc>
          <w:tcPr>
            <w:tcW w:w="2954" w:type="dxa"/>
            <w:gridSpan w:val="2"/>
            <w:tcBorders>
              <w:top w:val="single" w:color="auto" w:sz="4" w:space="0"/>
              <w:left w:val="nil"/>
              <w:bottom w:val="single" w:color="auto" w:sz="4" w:space="0"/>
              <w:right w:val="single" w:color="auto" w:sz="4" w:space="0"/>
            </w:tcBorders>
            <w:shd w:val="clear" w:color="auto" w:fill="auto"/>
            <w:vAlign w:val="center"/>
          </w:tcPr>
          <w:p w14:paraId="73433173">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其中：当年财政拨款</w:t>
            </w:r>
          </w:p>
        </w:tc>
        <w:tc>
          <w:tcPr>
            <w:tcW w:w="995" w:type="dxa"/>
            <w:tcBorders>
              <w:top w:val="nil"/>
              <w:left w:val="nil"/>
              <w:bottom w:val="single" w:color="auto" w:sz="4" w:space="0"/>
              <w:right w:val="single" w:color="auto" w:sz="4" w:space="0"/>
            </w:tcBorders>
            <w:shd w:val="clear" w:color="auto" w:fill="auto"/>
            <w:vAlign w:val="center"/>
          </w:tcPr>
          <w:p w14:paraId="0AB453F4">
            <w:pPr>
              <w:widowControl/>
              <w:jc w:val="center"/>
              <w:rPr>
                <w:rFonts w:ascii="宋体" w:hAnsi="宋体" w:cs="宋体"/>
                <w:color w:val="000000"/>
                <w:kern w:val="0"/>
                <w:sz w:val="18"/>
                <w:szCs w:val="18"/>
              </w:rPr>
            </w:pPr>
            <w:r>
              <w:rPr>
                <w:rFonts w:hint="eastAsia" w:ascii="宋体" w:hAnsi="宋体" w:cs="宋体"/>
                <w:color w:val="000000"/>
                <w:kern w:val="0"/>
                <w:sz w:val="18"/>
                <w:szCs w:val="18"/>
              </w:rPr>
              <w:t>18.31</w:t>
            </w:r>
          </w:p>
        </w:tc>
        <w:tc>
          <w:tcPr>
            <w:tcW w:w="1967" w:type="dxa"/>
            <w:gridSpan w:val="2"/>
            <w:tcBorders>
              <w:top w:val="single" w:color="auto" w:sz="4" w:space="0"/>
              <w:left w:val="nil"/>
              <w:bottom w:val="single" w:color="auto" w:sz="4" w:space="0"/>
              <w:right w:val="single" w:color="auto" w:sz="4" w:space="0"/>
            </w:tcBorders>
            <w:shd w:val="clear" w:color="auto" w:fill="auto"/>
            <w:vAlign w:val="center"/>
          </w:tcPr>
          <w:p w14:paraId="682A25D8">
            <w:pPr>
              <w:widowControl/>
              <w:jc w:val="center"/>
              <w:rPr>
                <w:rFonts w:ascii="宋体" w:hAnsi="宋体" w:cs="宋体"/>
                <w:color w:val="000000"/>
                <w:kern w:val="0"/>
                <w:sz w:val="18"/>
                <w:szCs w:val="18"/>
              </w:rPr>
            </w:pPr>
            <w:r>
              <w:rPr>
                <w:rFonts w:hint="eastAsia" w:ascii="宋体" w:hAnsi="宋体" w:cs="宋体"/>
                <w:color w:val="000000"/>
                <w:kern w:val="0"/>
                <w:sz w:val="18"/>
                <w:szCs w:val="18"/>
              </w:rPr>
              <w:t>1.63</w:t>
            </w:r>
          </w:p>
        </w:tc>
        <w:tc>
          <w:tcPr>
            <w:tcW w:w="1459" w:type="dxa"/>
            <w:gridSpan w:val="2"/>
            <w:tcBorders>
              <w:top w:val="single" w:color="auto" w:sz="4" w:space="0"/>
              <w:left w:val="nil"/>
              <w:bottom w:val="single" w:color="auto" w:sz="4" w:space="0"/>
              <w:right w:val="single" w:color="auto" w:sz="4" w:space="0"/>
            </w:tcBorders>
            <w:shd w:val="clear" w:color="auto" w:fill="auto"/>
            <w:vAlign w:val="center"/>
          </w:tcPr>
          <w:p w14:paraId="6784194D">
            <w:pPr>
              <w:widowControl/>
              <w:jc w:val="center"/>
              <w:rPr>
                <w:rFonts w:ascii="宋体" w:hAnsi="宋体" w:cs="宋体"/>
                <w:color w:val="000000"/>
                <w:kern w:val="0"/>
                <w:sz w:val="18"/>
                <w:szCs w:val="18"/>
              </w:rPr>
            </w:pPr>
            <w:r>
              <w:rPr>
                <w:rFonts w:hint="eastAsia" w:ascii="宋体" w:hAnsi="宋体" w:cs="宋体"/>
                <w:color w:val="000000"/>
                <w:kern w:val="0"/>
                <w:sz w:val="18"/>
                <w:szCs w:val="18"/>
              </w:rPr>
              <w:t>1.25</w:t>
            </w:r>
          </w:p>
        </w:tc>
        <w:tc>
          <w:tcPr>
            <w:tcW w:w="1689" w:type="dxa"/>
            <w:gridSpan w:val="2"/>
            <w:tcBorders>
              <w:top w:val="single" w:color="auto" w:sz="4" w:space="0"/>
              <w:left w:val="nil"/>
              <w:bottom w:val="single" w:color="auto" w:sz="4" w:space="0"/>
              <w:right w:val="single" w:color="auto" w:sz="4" w:space="0"/>
            </w:tcBorders>
            <w:shd w:val="clear" w:color="auto" w:fill="auto"/>
            <w:vAlign w:val="center"/>
          </w:tcPr>
          <w:p w14:paraId="7CE97F3A">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96" w:type="dxa"/>
            <w:gridSpan w:val="2"/>
            <w:tcBorders>
              <w:top w:val="single" w:color="auto" w:sz="4" w:space="0"/>
              <w:left w:val="nil"/>
              <w:bottom w:val="single" w:color="auto" w:sz="4" w:space="0"/>
              <w:right w:val="single" w:color="auto" w:sz="4" w:space="0"/>
            </w:tcBorders>
            <w:shd w:val="clear" w:color="auto" w:fill="auto"/>
            <w:vAlign w:val="center"/>
          </w:tcPr>
          <w:p w14:paraId="09334B1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75" w:type="dxa"/>
            <w:tcBorders>
              <w:top w:val="nil"/>
              <w:left w:val="nil"/>
              <w:bottom w:val="single" w:color="auto" w:sz="4" w:space="0"/>
              <w:right w:val="single" w:color="auto" w:sz="4" w:space="0"/>
            </w:tcBorders>
            <w:shd w:val="clear" w:color="auto" w:fill="auto"/>
            <w:vAlign w:val="center"/>
          </w:tcPr>
          <w:p w14:paraId="49A05D0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17A76F00">
        <w:tblPrEx>
          <w:tblCellMar>
            <w:top w:w="0" w:type="dxa"/>
            <w:left w:w="108" w:type="dxa"/>
            <w:bottom w:w="0" w:type="dxa"/>
            <w:right w:w="108" w:type="dxa"/>
          </w:tblCellMar>
        </w:tblPrEx>
        <w:trPr>
          <w:trHeight w:val="440" w:hRule="atLeast"/>
        </w:trPr>
        <w:tc>
          <w:tcPr>
            <w:tcW w:w="1965" w:type="dxa"/>
            <w:gridSpan w:val="2"/>
            <w:vMerge w:val="continue"/>
            <w:tcBorders>
              <w:top w:val="single" w:color="auto" w:sz="4" w:space="0"/>
              <w:left w:val="single" w:color="auto" w:sz="4" w:space="0"/>
              <w:bottom w:val="single" w:color="auto" w:sz="4" w:space="0"/>
              <w:right w:val="single" w:color="auto" w:sz="4" w:space="0"/>
            </w:tcBorders>
            <w:vAlign w:val="center"/>
          </w:tcPr>
          <w:p w14:paraId="3D448DFA">
            <w:pPr>
              <w:widowControl/>
              <w:jc w:val="left"/>
              <w:rPr>
                <w:rFonts w:ascii="宋体" w:hAnsi="宋体" w:cs="宋体"/>
                <w:color w:val="000000"/>
                <w:kern w:val="0"/>
                <w:sz w:val="18"/>
                <w:szCs w:val="18"/>
              </w:rPr>
            </w:pPr>
          </w:p>
        </w:tc>
        <w:tc>
          <w:tcPr>
            <w:tcW w:w="2954" w:type="dxa"/>
            <w:gridSpan w:val="2"/>
            <w:tcBorders>
              <w:top w:val="single" w:color="auto" w:sz="4" w:space="0"/>
              <w:left w:val="nil"/>
              <w:bottom w:val="single" w:color="auto" w:sz="4" w:space="0"/>
              <w:right w:val="single" w:color="auto" w:sz="4" w:space="0"/>
            </w:tcBorders>
            <w:shd w:val="clear" w:color="auto" w:fill="auto"/>
            <w:vAlign w:val="center"/>
          </w:tcPr>
          <w:p w14:paraId="11E9BAB5">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995" w:type="dxa"/>
            <w:tcBorders>
              <w:top w:val="nil"/>
              <w:left w:val="nil"/>
              <w:bottom w:val="single" w:color="auto" w:sz="4" w:space="0"/>
              <w:right w:val="single" w:color="auto" w:sz="4" w:space="0"/>
            </w:tcBorders>
            <w:shd w:val="clear" w:color="auto" w:fill="auto"/>
            <w:vAlign w:val="center"/>
          </w:tcPr>
          <w:p w14:paraId="33CC1F81">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967" w:type="dxa"/>
            <w:gridSpan w:val="2"/>
            <w:tcBorders>
              <w:top w:val="single" w:color="auto" w:sz="4" w:space="0"/>
              <w:left w:val="nil"/>
              <w:bottom w:val="single" w:color="auto" w:sz="4" w:space="0"/>
              <w:right w:val="single" w:color="auto" w:sz="4" w:space="0"/>
            </w:tcBorders>
            <w:shd w:val="clear" w:color="auto" w:fill="auto"/>
            <w:vAlign w:val="center"/>
          </w:tcPr>
          <w:p w14:paraId="5B9C9764">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59" w:type="dxa"/>
            <w:gridSpan w:val="2"/>
            <w:tcBorders>
              <w:top w:val="single" w:color="auto" w:sz="4" w:space="0"/>
              <w:left w:val="nil"/>
              <w:bottom w:val="single" w:color="auto" w:sz="4" w:space="0"/>
              <w:right w:val="single" w:color="auto" w:sz="4" w:space="0"/>
            </w:tcBorders>
            <w:shd w:val="clear" w:color="auto" w:fill="auto"/>
            <w:vAlign w:val="center"/>
          </w:tcPr>
          <w:p w14:paraId="3683ED95">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689" w:type="dxa"/>
            <w:gridSpan w:val="2"/>
            <w:tcBorders>
              <w:top w:val="single" w:color="auto" w:sz="4" w:space="0"/>
              <w:left w:val="nil"/>
              <w:bottom w:val="single" w:color="auto" w:sz="4" w:space="0"/>
              <w:right w:val="single" w:color="auto" w:sz="4" w:space="0"/>
            </w:tcBorders>
            <w:shd w:val="clear" w:color="auto" w:fill="auto"/>
            <w:vAlign w:val="center"/>
          </w:tcPr>
          <w:p w14:paraId="28368C6E">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96" w:type="dxa"/>
            <w:gridSpan w:val="2"/>
            <w:tcBorders>
              <w:top w:val="single" w:color="auto" w:sz="4" w:space="0"/>
              <w:left w:val="nil"/>
              <w:bottom w:val="single" w:color="auto" w:sz="4" w:space="0"/>
              <w:right w:val="single" w:color="auto" w:sz="4" w:space="0"/>
            </w:tcBorders>
            <w:shd w:val="clear" w:color="auto" w:fill="auto"/>
            <w:vAlign w:val="center"/>
          </w:tcPr>
          <w:p w14:paraId="2B3B52F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75" w:type="dxa"/>
            <w:tcBorders>
              <w:top w:val="nil"/>
              <w:left w:val="nil"/>
              <w:bottom w:val="single" w:color="auto" w:sz="4" w:space="0"/>
              <w:right w:val="single" w:color="auto" w:sz="4" w:space="0"/>
            </w:tcBorders>
            <w:shd w:val="clear" w:color="auto" w:fill="auto"/>
            <w:vAlign w:val="center"/>
          </w:tcPr>
          <w:p w14:paraId="3D15295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30F9C7A6">
        <w:tblPrEx>
          <w:tblCellMar>
            <w:top w:w="0" w:type="dxa"/>
            <w:left w:w="108" w:type="dxa"/>
            <w:bottom w:w="0" w:type="dxa"/>
            <w:right w:w="108" w:type="dxa"/>
          </w:tblCellMar>
        </w:tblPrEx>
        <w:trPr>
          <w:trHeight w:val="430" w:hRule="atLeast"/>
        </w:trPr>
        <w:tc>
          <w:tcPr>
            <w:tcW w:w="983" w:type="dxa"/>
            <w:vMerge w:val="restart"/>
            <w:tcBorders>
              <w:top w:val="nil"/>
              <w:left w:val="single" w:color="auto" w:sz="4" w:space="0"/>
              <w:bottom w:val="single" w:color="auto" w:sz="4" w:space="0"/>
              <w:right w:val="single" w:color="auto" w:sz="4" w:space="0"/>
            </w:tcBorders>
            <w:shd w:val="clear" w:color="auto" w:fill="auto"/>
            <w:vAlign w:val="center"/>
          </w:tcPr>
          <w:p w14:paraId="30CF886C">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年度总体目标</w:t>
            </w:r>
          </w:p>
        </w:tc>
        <w:tc>
          <w:tcPr>
            <w:tcW w:w="8357" w:type="dxa"/>
            <w:gridSpan w:val="8"/>
            <w:tcBorders>
              <w:top w:val="single" w:color="auto" w:sz="4" w:space="0"/>
              <w:left w:val="nil"/>
              <w:bottom w:val="single" w:color="auto" w:sz="4" w:space="0"/>
              <w:right w:val="single" w:color="auto" w:sz="4" w:space="0"/>
            </w:tcBorders>
            <w:shd w:val="clear" w:color="auto" w:fill="auto"/>
            <w:vAlign w:val="center"/>
          </w:tcPr>
          <w:p w14:paraId="6125013D">
            <w:pPr>
              <w:widowControl/>
              <w:jc w:val="center"/>
              <w:rPr>
                <w:rFonts w:ascii="宋体" w:hAnsi="宋体" w:cs="宋体"/>
                <w:color w:val="000000"/>
                <w:kern w:val="0"/>
                <w:sz w:val="18"/>
                <w:szCs w:val="18"/>
              </w:rPr>
            </w:pPr>
            <w:r>
              <w:rPr>
                <w:rFonts w:hint="eastAsia" w:ascii="宋体" w:hAnsi="宋体" w:cs="宋体"/>
                <w:color w:val="000000"/>
                <w:kern w:val="0"/>
                <w:sz w:val="18"/>
                <w:szCs w:val="18"/>
              </w:rPr>
              <w:t>总体目标</w:t>
            </w:r>
          </w:p>
        </w:tc>
        <w:tc>
          <w:tcPr>
            <w:tcW w:w="4860" w:type="dxa"/>
            <w:gridSpan w:val="5"/>
            <w:tcBorders>
              <w:top w:val="single" w:color="auto" w:sz="4" w:space="0"/>
              <w:left w:val="nil"/>
              <w:bottom w:val="single" w:color="auto" w:sz="4" w:space="0"/>
              <w:right w:val="single" w:color="auto" w:sz="4" w:space="0"/>
            </w:tcBorders>
            <w:shd w:val="clear" w:color="auto" w:fill="auto"/>
            <w:vAlign w:val="center"/>
          </w:tcPr>
          <w:p w14:paraId="65B2C840">
            <w:pPr>
              <w:widowControl/>
              <w:jc w:val="center"/>
              <w:rPr>
                <w:rFonts w:ascii="宋体" w:hAnsi="宋体" w:cs="宋体"/>
                <w:color w:val="000000"/>
                <w:kern w:val="0"/>
                <w:sz w:val="18"/>
                <w:szCs w:val="18"/>
              </w:rPr>
            </w:pPr>
            <w:r>
              <w:rPr>
                <w:rFonts w:hint="eastAsia" w:ascii="宋体" w:hAnsi="宋体" w:cs="宋体"/>
                <w:color w:val="000000"/>
                <w:kern w:val="0"/>
                <w:sz w:val="18"/>
                <w:szCs w:val="18"/>
              </w:rPr>
              <w:t>总体目标完成情况</w:t>
            </w:r>
          </w:p>
        </w:tc>
      </w:tr>
      <w:tr w14:paraId="2DAA3E0B">
        <w:tblPrEx>
          <w:tblCellMar>
            <w:top w:w="0" w:type="dxa"/>
            <w:left w:w="108" w:type="dxa"/>
            <w:bottom w:w="0" w:type="dxa"/>
            <w:right w:w="108" w:type="dxa"/>
          </w:tblCellMar>
        </w:tblPrEx>
        <w:trPr>
          <w:trHeight w:val="1400" w:hRule="atLeast"/>
        </w:trPr>
        <w:tc>
          <w:tcPr>
            <w:tcW w:w="983" w:type="dxa"/>
            <w:vMerge w:val="continue"/>
            <w:tcBorders>
              <w:top w:val="nil"/>
              <w:left w:val="single" w:color="auto" w:sz="4" w:space="0"/>
              <w:bottom w:val="single" w:color="auto" w:sz="4" w:space="0"/>
              <w:right w:val="single" w:color="auto" w:sz="4" w:space="0"/>
            </w:tcBorders>
            <w:vAlign w:val="center"/>
          </w:tcPr>
          <w:p w14:paraId="24C62CF4">
            <w:pPr>
              <w:widowControl/>
              <w:jc w:val="left"/>
              <w:rPr>
                <w:rFonts w:ascii="宋体" w:hAnsi="宋体" w:cs="宋体"/>
                <w:color w:val="000000"/>
                <w:kern w:val="0"/>
                <w:sz w:val="18"/>
                <w:szCs w:val="18"/>
              </w:rPr>
            </w:pPr>
          </w:p>
        </w:tc>
        <w:tc>
          <w:tcPr>
            <w:tcW w:w="8357" w:type="dxa"/>
            <w:gridSpan w:val="8"/>
            <w:tcBorders>
              <w:top w:val="single" w:color="auto" w:sz="4" w:space="0"/>
              <w:left w:val="nil"/>
              <w:bottom w:val="single" w:color="auto" w:sz="4" w:space="0"/>
              <w:right w:val="single" w:color="auto" w:sz="4" w:space="0"/>
            </w:tcBorders>
            <w:shd w:val="clear" w:color="auto" w:fill="auto"/>
            <w:vAlign w:val="center"/>
          </w:tcPr>
          <w:p w14:paraId="74133A07">
            <w:pPr>
              <w:widowControl/>
              <w:jc w:val="center"/>
              <w:rPr>
                <w:rFonts w:ascii="宋体" w:hAnsi="宋体" w:cs="宋体"/>
                <w:color w:val="000000"/>
                <w:kern w:val="0"/>
                <w:sz w:val="18"/>
                <w:szCs w:val="18"/>
              </w:rPr>
            </w:pPr>
            <w:r>
              <w:rPr>
                <w:rFonts w:hint="eastAsia" w:ascii="宋体" w:hAnsi="宋体" w:cs="宋体"/>
                <w:color w:val="000000"/>
                <w:kern w:val="0"/>
                <w:sz w:val="18"/>
                <w:szCs w:val="18"/>
              </w:rPr>
              <w:t>根据《关于下拨2022年中央、自治区、自治州残疾人事业发展补助资金方案工作提示》，开展动态更新专项调查1550人，采购制卡机1台，4名残疾学生发放助学金补助资金，保障家庭经济困难残疾学生和残疾人家庭子女顺利完成学业。残疾人基本康复服务51人，残疾儿童康复救助4人，困难残疾人家庭无障碍改造10户，改善家庭生活环境；开展全国爱耳日和全国残疾预防日宣传工作2场次，切实解决残疾人的实际困难。</w:t>
            </w:r>
          </w:p>
        </w:tc>
        <w:tc>
          <w:tcPr>
            <w:tcW w:w="4860" w:type="dxa"/>
            <w:gridSpan w:val="5"/>
            <w:tcBorders>
              <w:top w:val="single" w:color="auto" w:sz="4" w:space="0"/>
              <w:left w:val="nil"/>
              <w:bottom w:val="single" w:color="auto" w:sz="4" w:space="0"/>
              <w:right w:val="single" w:color="auto" w:sz="4" w:space="0"/>
            </w:tcBorders>
            <w:shd w:val="clear" w:color="auto" w:fill="auto"/>
            <w:vAlign w:val="center"/>
          </w:tcPr>
          <w:p w14:paraId="1C8AFA50">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动态更新专项调查1533人，采购制卡机1台，4名残疾学生发放助学金补助资金，残疾人基本康复服务51人，残疾儿童康复救助4人，困难残疾人家庭无障碍改造10户，改善家庭生活环境；开展全国爱耳日和全国残疾预防日宣传工作2场次，切实解决残疾人的实际困难，保障残疾家庭生活水平。</w:t>
            </w:r>
          </w:p>
        </w:tc>
      </w:tr>
      <w:tr w14:paraId="216C4415">
        <w:tblPrEx>
          <w:tblCellMar>
            <w:top w:w="0" w:type="dxa"/>
            <w:left w:w="108" w:type="dxa"/>
            <w:bottom w:w="0" w:type="dxa"/>
            <w:right w:w="108" w:type="dxa"/>
          </w:tblCellMar>
        </w:tblPrEx>
        <w:trPr>
          <w:trHeight w:val="990" w:hRule="atLeast"/>
        </w:trPr>
        <w:tc>
          <w:tcPr>
            <w:tcW w:w="983" w:type="dxa"/>
            <w:tcBorders>
              <w:top w:val="nil"/>
              <w:left w:val="single" w:color="auto" w:sz="4" w:space="0"/>
              <w:bottom w:val="single" w:color="auto" w:sz="4" w:space="0"/>
              <w:right w:val="single" w:color="auto" w:sz="4" w:space="0"/>
            </w:tcBorders>
            <w:shd w:val="clear" w:color="auto" w:fill="auto"/>
            <w:vAlign w:val="center"/>
          </w:tcPr>
          <w:p w14:paraId="2163C16F">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982" w:type="dxa"/>
            <w:tcBorders>
              <w:top w:val="nil"/>
              <w:left w:val="nil"/>
              <w:bottom w:val="single" w:color="auto" w:sz="4" w:space="0"/>
              <w:right w:val="single" w:color="auto" w:sz="4" w:space="0"/>
            </w:tcBorders>
            <w:shd w:val="clear" w:color="auto" w:fill="auto"/>
            <w:vAlign w:val="center"/>
          </w:tcPr>
          <w:p w14:paraId="1C0A3182">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982" w:type="dxa"/>
            <w:tcBorders>
              <w:top w:val="nil"/>
              <w:left w:val="nil"/>
              <w:bottom w:val="single" w:color="auto" w:sz="4" w:space="0"/>
              <w:right w:val="single" w:color="auto" w:sz="4" w:space="0"/>
            </w:tcBorders>
            <w:shd w:val="clear" w:color="auto" w:fill="auto"/>
            <w:vAlign w:val="center"/>
          </w:tcPr>
          <w:p w14:paraId="17E476F9">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972" w:type="dxa"/>
            <w:tcBorders>
              <w:top w:val="nil"/>
              <w:left w:val="nil"/>
              <w:bottom w:val="single" w:color="auto" w:sz="4" w:space="0"/>
              <w:right w:val="single" w:color="auto" w:sz="4" w:space="0"/>
            </w:tcBorders>
            <w:shd w:val="clear" w:color="auto" w:fill="auto"/>
            <w:vAlign w:val="center"/>
          </w:tcPr>
          <w:p w14:paraId="13695878">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995" w:type="dxa"/>
            <w:tcBorders>
              <w:top w:val="nil"/>
              <w:left w:val="nil"/>
              <w:bottom w:val="single" w:color="auto" w:sz="4" w:space="0"/>
              <w:right w:val="single" w:color="auto" w:sz="4" w:space="0"/>
            </w:tcBorders>
            <w:shd w:val="clear" w:color="auto" w:fill="auto"/>
            <w:vAlign w:val="center"/>
          </w:tcPr>
          <w:p w14:paraId="4E4B45BD">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982" w:type="dxa"/>
            <w:tcBorders>
              <w:top w:val="nil"/>
              <w:left w:val="nil"/>
              <w:bottom w:val="single" w:color="auto" w:sz="4" w:space="0"/>
              <w:right w:val="single" w:color="auto" w:sz="4" w:space="0"/>
            </w:tcBorders>
            <w:shd w:val="clear" w:color="auto" w:fill="auto"/>
            <w:vAlign w:val="center"/>
          </w:tcPr>
          <w:p w14:paraId="6DB76519">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指标值设置依据</w:t>
            </w:r>
          </w:p>
        </w:tc>
        <w:tc>
          <w:tcPr>
            <w:tcW w:w="985" w:type="dxa"/>
            <w:tcBorders>
              <w:top w:val="nil"/>
              <w:left w:val="nil"/>
              <w:bottom w:val="single" w:color="auto" w:sz="4" w:space="0"/>
              <w:right w:val="single" w:color="auto" w:sz="4" w:space="0"/>
            </w:tcBorders>
            <w:shd w:val="clear" w:color="auto" w:fill="auto"/>
            <w:vAlign w:val="center"/>
          </w:tcPr>
          <w:p w14:paraId="42082016">
            <w:pPr>
              <w:widowControl/>
              <w:jc w:val="center"/>
              <w:rPr>
                <w:rFonts w:ascii="宋体" w:hAnsi="宋体" w:cs="宋体"/>
                <w:color w:val="000000"/>
                <w:kern w:val="0"/>
                <w:sz w:val="18"/>
                <w:szCs w:val="18"/>
              </w:rPr>
            </w:pPr>
            <w:r>
              <w:rPr>
                <w:rFonts w:hint="eastAsia" w:ascii="宋体" w:hAnsi="宋体" w:cs="宋体"/>
                <w:color w:val="000000"/>
                <w:kern w:val="0"/>
                <w:sz w:val="18"/>
                <w:szCs w:val="18"/>
              </w:rPr>
              <w:t>上年完成值</w:t>
            </w:r>
          </w:p>
        </w:tc>
        <w:tc>
          <w:tcPr>
            <w:tcW w:w="749" w:type="dxa"/>
            <w:tcBorders>
              <w:top w:val="nil"/>
              <w:left w:val="nil"/>
              <w:bottom w:val="single" w:color="auto" w:sz="4" w:space="0"/>
              <w:right w:val="single" w:color="auto" w:sz="4" w:space="0"/>
            </w:tcBorders>
            <w:shd w:val="clear" w:color="auto" w:fill="auto"/>
            <w:vAlign w:val="center"/>
          </w:tcPr>
          <w:p w14:paraId="751F42BF">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指标分值权重</w:t>
            </w:r>
          </w:p>
        </w:tc>
        <w:tc>
          <w:tcPr>
            <w:tcW w:w="710" w:type="dxa"/>
            <w:tcBorders>
              <w:top w:val="nil"/>
              <w:left w:val="nil"/>
              <w:bottom w:val="single" w:color="auto" w:sz="4" w:space="0"/>
              <w:right w:val="single" w:color="auto" w:sz="4" w:space="0"/>
            </w:tcBorders>
            <w:shd w:val="clear" w:color="auto" w:fill="auto"/>
            <w:vAlign w:val="center"/>
          </w:tcPr>
          <w:p w14:paraId="0AB96AFE">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指标赋分规则</w:t>
            </w:r>
          </w:p>
        </w:tc>
        <w:tc>
          <w:tcPr>
            <w:tcW w:w="691" w:type="dxa"/>
            <w:tcBorders>
              <w:top w:val="nil"/>
              <w:left w:val="nil"/>
              <w:bottom w:val="single" w:color="auto" w:sz="4" w:space="0"/>
              <w:right w:val="single" w:color="auto" w:sz="4" w:space="0"/>
            </w:tcBorders>
            <w:shd w:val="clear" w:color="auto" w:fill="auto"/>
            <w:vAlign w:val="center"/>
          </w:tcPr>
          <w:p w14:paraId="365E8317">
            <w:pPr>
              <w:widowControl/>
              <w:jc w:val="center"/>
              <w:rPr>
                <w:rFonts w:ascii="宋体" w:hAnsi="宋体" w:cs="宋体"/>
                <w:color w:val="000000"/>
                <w:kern w:val="0"/>
                <w:sz w:val="18"/>
                <w:szCs w:val="18"/>
              </w:rPr>
            </w:pPr>
            <w:r>
              <w:rPr>
                <w:rFonts w:hint="eastAsia" w:ascii="宋体" w:hAnsi="宋体" w:cs="宋体"/>
                <w:color w:val="000000"/>
                <w:kern w:val="0"/>
                <w:sz w:val="18"/>
                <w:szCs w:val="18"/>
              </w:rPr>
              <w:t>佐证资料</w:t>
            </w:r>
          </w:p>
        </w:tc>
        <w:tc>
          <w:tcPr>
            <w:tcW w:w="998" w:type="dxa"/>
            <w:tcBorders>
              <w:top w:val="nil"/>
              <w:left w:val="nil"/>
              <w:bottom w:val="single" w:color="auto" w:sz="4" w:space="0"/>
              <w:right w:val="single" w:color="auto" w:sz="4" w:space="0"/>
            </w:tcBorders>
            <w:shd w:val="clear" w:color="auto" w:fill="auto"/>
            <w:vAlign w:val="center"/>
          </w:tcPr>
          <w:p w14:paraId="2B4D4F3B">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指标实际完成值</w:t>
            </w:r>
          </w:p>
        </w:tc>
        <w:tc>
          <w:tcPr>
            <w:tcW w:w="916" w:type="dxa"/>
            <w:tcBorders>
              <w:top w:val="nil"/>
              <w:left w:val="nil"/>
              <w:bottom w:val="single" w:color="auto" w:sz="4" w:space="0"/>
              <w:right w:val="single" w:color="auto" w:sz="4" w:space="0"/>
            </w:tcBorders>
            <w:shd w:val="clear" w:color="auto" w:fill="auto"/>
            <w:vAlign w:val="center"/>
          </w:tcPr>
          <w:p w14:paraId="52553760">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完成率</w:t>
            </w:r>
          </w:p>
        </w:tc>
        <w:tc>
          <w:tcPr>
            <w:tcW w:w="680" w:type="dxa"/>
            <w:tcBorders>
              <w:top w:val="nil"/>
              <w:left w:val="nil"/>
              <w:bottom w:val="single" w:color="auto" w:sz="4" w:space="0"/>
              <w:right w:val="single" w:color="auto" w:sz="4" w:space="0"/>
            </w:tcBorders>
            <w:shd w:val="clear" w:color="auto" w:fill="auto"/>
            <w:vAlign w:val="center"/>
          </w:tcPr>
          <w:p w14:paraId="0738724D">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指标得分</w:t>
            </w:r>
          </w:p>
        </w:tc>
        <w:tc>
          <w:tcPr>
            <w:tcW w:w="1575" w:type="dxa"/>
            <w:tcBorders>
              <w:top w:val="nil"/>
              <w:left w:val="nil"/>
              <w:bottom w:val="single" w:color="auto" w:sz="4" w:space="0"/>
              <w:right w:val="single" w:color="auto" w:sz="4" w:space="0"/>
            </w:tcBorders>
            <w:shd w:val="clear" w:color="auto" w:fill="auto"/>
            <w:vAlign w:val="center"/>
          </w:tcPr>
          <w:p w14:paraId="7FA1EE01">
            <w:pPr>
              <w:widowControl/>
              <w:jc w:val="center"/>
              <w:rPr>
                <w:rFonts w:ascii="宋体" w:hAnsi="宋体" w:cs="宋体"/>
                <w:color w:val="000000"/>
                <w:kern w:val="0"/>
                <w:sz w:val="18"/>
                <w:szCs w:val="18"/>
              </w:rPr>
            </w:pPr>
            <w:r>
              <w:rPr>
                <w:rFonts w:hint="eastAsia" w:ascii="宋体" w:hAnsi="宋体" w:cs="宋体"/>
                <w:color w:val="000000"/>
                <w:kern w:val="0"/>
                <w:sz w:val="18"/>
                <w:szCs w:val="18"/>
              </w:rPr>
              <w:t>偏差原因分析及改进措施</w:t>
            </w:r>
          </w:p>
        </w:tc>
      </w:tr>
      <w:tr w14:paraId="55CFD12E">
        <w:tblPrEx>
          <w:tblCellMar>
            <w:top w:w="0" w:type="dxa"/>
            <w:left w:w="108" w:type="dxa"/>
            <w:bottom w:w="0" w:type="dxa"/>
            <w:right w:w="108" w:type="dxa"/>
          </w:tblCellMar>
        </w:tblPrEx>
        <w:trPr>
          <w:trHeight w:val="600" w:hRule="atLeast"/>
        </w:trPr>
        <w:tc>
          <w:tcPr>
            <w:tcW w:w="983" w:type="dxa"/>
            <w:vMerge w:val="restart"/>
            <w:tcBorders>
              <w:top w:val="nil"/>
              <w:left w:val="single" w:color="auto" w:sz="4" w:space="0"/>
              <w:bottom w:val="single" w:color="auto" w:sz="4" w:space="0"/>
              <w:right w:val="single" w:color="auto" w:sz="4" w:space="0"/>
            </w:tcBorders>
            <w:shd w:val="clear" w:color="auto" w:fill="auto"/>
            <w:vAlign w:val="center"/>
          </w:tcPr>
          <w:p w14:paraId="5C365779">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982" w:type="dxa"/>
            <w:vMerge w:val="restart"/>
            <w:tcBorders>
              <w:top w:val="nil"/>
              <w:left w:val="single" w:color="auto" w:sz="4" w:space="0"/>
              <w:bottom w:val="single" w:color="auto" w:sz="4" w:space="0"/>
              <w:right w:val="single" w:color="auto" w:sz="4" w:space="0"/>
            </w:tcBorders>
            <w:shd w:val="clear" w:color="auto" w:fill="auto"/>
            <w:vAlign w:val="center"/>
          </w:tcPr>
          <w:p w14:paraId="158B157F">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982" w:type="dxa"/>
            <w:tcBorders>
              <w:top w:val="nil"/>
              <w:left w:val="nil"/>
              <w:bottom w:val="single" w:color="auto" w:sz="4" w:space="0"/>
              <w:right w:val="single" w:color="auto" w:sz="4" w:space="0"/>
            </w:tcBorders>
            <w:shd w:val="clear" w:color="auto" w:fill="auto"/>
            <w:vAlign w:val="center"/>
          </w:tcPr>
          <w:p w14:paraId="543FC89C">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972" w:type="dxa"/>
            <w:tcBorders>
              <w:top w:val="nil"/>
              <w:left w:val="nil"/>
              <w:bottom w:val="single" w:color="auto" w:sz="4" w:space="0"/>
              <w:right w:val="single" w:color="auto" w:sz="4" w:space="0"/>
            </w:tcBorders>
            <w:shd w:val="clear" w:color="auto" w:fill="auto"/>
            <w:vAlign w:val="center"/>
          </w:tcPr>
          <w:p w14:paraId="09C997BE">
            <w:pPr>
              <w:widowControl/>
              <w:jc w:val="left"/>
              <w:rPr>
                <w:rFonts w:ascii="宋体" w:hAnsi="宋体" w:cs="宋体"/>
                <w:color w:val="000000"/>
                <w:kern w:val="0"/>
                <w:sz w:val="20"/>
                <w:szCs w:val="20"/>
              </w:rPr>
            </w:pPr>
            <w:r>
              <w:rPr>
                <w:rFonts w:hint="eastAsia" w:ascii="宋体" w:hAnsi="宋体" w:cs="宋体"/>
                <w:color w:val="000000"/>
                <w:kern w:val="0"/>
                <w:sz w:val="20"/>
                <w:szCs w:val="20"/>
              </w:rPr>
              <w:t>补助学生数</w:t>
            </w:r>
          </w:p>
        </w:tc>
        <w:tc>
          <w:tcPr>
            <w:tcW w:w="995" w:type="dxa"/>
            <w:tcBorders>
              <w:top w:val="nil"/>
              <w:left w:val="nil"/>
              <w:bottom w:val="single" w:color="auto" w:sz="4" w:space="0"/>
              <w:right w:val="single" w:color="auto" w:sz="4" w:space="0"/>
            </w:tcBorders>
            <w:shd w:val="clear" w:color="auto" w:fill="auto"/>
            <w:vAlign w:val="center"/>
          </w:tcPr>
          <w:p w14:paraId="213B84E2">
            <w:pPr>
              <w:widowControl/>
              <w:jc w:val="left"/>
              <w:rPr>
                <w:rFonts w:ascii="宋体" w:hAnsi="宋体" w:cs="宋体"/>
                <w:color w:val="000000"/>
                <w:kern w:val="0"/>
                <w:sz w:val="20"/>
                <w:szCs w:val="20"/>
              </w:rPr>
            </w:pPr>
            <w:r>
              <w:rPr>
                <w:rFonts w:hint="eastAsia" w:ascii="宋体" w:hAnsi="宋体" w:cs="宋体"/>
                <w:color w:val="000000"/>
                <w:kern w:val="0"/>
                <w:sz w:val="20"/>
                <w:szCs w:val="20"/>
              </w:rPr>
              <w:t>&gt;=4人</w:t>
            </w:r>
          </w:p>
        </w:tc>
        <w:tc>
          <w:tcPr>
            <w:tcW w:w="982" w:type="dxa"/>
            <w:tcBorders>
              <w:top w:val="nil"/>
              <w:left w:val="nil"/>
              <w:bottom w:val="single" w:color="auto" w:sz="4" w:space="0"/>
              <w:right w:val="single" w:color="auto" w:sz="4" w:space="0"/>
            </w:tcBorders>
            <w:shd w:val="clear" w:color="auto" w:fill="auto"/>
            <w:vAlign w:val="center"/>
          </w:tcPr>
          <w:p w14:paraId="205196D5">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78CD30F4">
            <w:pPr>
              <w:widowControl/>
              <w:jc w:val="left"/>
              <w:rPr>
                <w:rFonts w:ascii="宋体" w:hAnsi="宋体" w:cs="宋体"/>
                <w:color w:val="000000"/>
                <w:kern w:val="0"/>
                <w:sz w:val="20"/>
                <w:szCs w:val="20"/>
              </w:rPr>
            </w:pPr>
            <w:r>
              <w:rPr>
                <w:rFonts w:hint="eastAsia" w:ascii="宋体" w:hAnsi="宋体" w:cs="宋体"/>
                <w:color w:val="000000"/>
                <w:kern w:val="0"/>
                <w:sz w:val="20"/>
                <w:szCs w:val="20"/>
              </w:rPr>
              <w:t>12人</w:t>
            </w:r>
          </w:p>
        </w:tc>
        <w:tc>
          <w:tcPr>
            <w:tcW w:w="749" w:type="dxa"/>
            <w:tcBorders>
              <w:top w:val="nil"/>
              <w:left w:val="nil"/>
              <w:bottom w:val="single" w:color="auto" w:sz="4" w:space="0"/>
              <w:right w:val="single" w:color="auto" w:sz="4" w:space="0"/>
            </w:tcBorders>
            <w:shd w:val="clear" w:color="auto" w:fill="auto"/>
            <w:vAlign w:val="center"/>
          </w:tcPr>
          <w:p w14:paraId="1CDB678B">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10" w:type="dxa"/>
            <w:tcBorders>
              <w:top w:val="nil"/>
              <w:left w:val="nil"/>
              <w:bottom w:val="single" w:color="auto" w:sz="4" w:space="0"/>
              <w:right w:val="single" w:color="auto" w:sz="4" w:space="0"/>
            </w:tcBorders>
            <w:shd w:val="clear" w:color="auto" w:fill="auto"/>
            <w:vAlign w:val="center"/>
          </w:tcPr>
          <w:p w14:paraId="7F3AD70F">
            <w:pPr>
              <w:widowControl/>
              <w:jc w:val="left"/>
              <w:rPr>
                <w:rFonts w:ascii="宋体" w:hAnsi="宋体" w:cs="宋体"/>
                <w:color w:val="000000"/>
                <w:kern w:val="0"/>
                <w:sz w:val="20"/>
                <w:szCs w:val="20"/>
              </w:rPr>
            </w:pPr>
            <w:r>
              <w:rPr>
                <w:rFonts w:hint="eastAsia" w:ascii="宋体" w:hAnsi="宋体" w:cs="宋体"/>
                <w:color w:val="000000"/>
                <w:kern w:val="0"/>
                <w:sz w:val="20"/>
                <w:szCs w:val="20"/>
              </w:rPr>
              <w:t>按照正常比例赋分</w:t>
            </w:r>
          </w:p>
        </w:tc>
        <w:tc>
          <w:tcPr>
            <w:tcW w:w="691" w:type="dxa"/>
            <w:tcBorders>
              <w:top w:val="nil"/>
              <w:left w:val="nil"/>
              <w:bottom w:val="single" w:color="auto" w:sz="4" w:space="0"/>
              <w:right w:val="single" w:color="auto" w:sz="4" w:space="0"/>
            </w:tcBorders>
            <w:shd w:val="clear" w:color="auto" w:fill="auto"/>
            <w:vAlign w:val="center"/>
          </w:tcPr>
          <w:p w14:paraId="215C53BD">
            <w:pPr>
              <w:widowControl/>
              <w:jc w:val="left"/>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998" w:type="dxa"/>
            <w:tcBorders>
              <w:top w:val="nil"/>
              <w:left w:val="nil"/>
              <w:bottom w:val="single" w:color="auto" w:sz="4" w:space="0"/>
              <w:right w:val="single" w:color="auto" w:sz="4" w:space="0"/>
            </w:tcBorders>
            <w:shd w:val="clear" w:color="auto" w:fill="auto"/>
            <w:vAlign w:val="center"/>
          </w:tcPr>
          <w:p w14:paraId="4A3831F4">
            <w:pPr>
              <w:widowControl/>
              <w:jc w:val="center"/>
              <w:rPr>
                <w:rFonts w:ascii="宋体" w:hAnsi="宋体" w:cs="宋体"/>
                <w:color w:val="000000"/>
                <w:kern w:val="0"/>
                <w:sz w:val="18"/>
                <w:szCs w:val="18"/>
              </w:rPr>
            </w:pPr>
            <w:r>
              <w:rPr>
                <w:rFonts w:hint="eastAsia" w:ascii="宋体" w:hAnsi="宋体" w:cs="宋体"/>
                <w:color w:val="000000"/>
                <w:kern w:val="0"/>
                <w:sz w:val="18"/>
                <w:szCs w:val="18"/>
              </w:rPr>
              <w:t>补助次数</w:t>
            </w:r>
          </w:p>
        </w:tc>
        <w:tc>
          <w:tcPr>
            <w:tcW w:w="916" w:type="dxa"/>
            <w:tcBorders>
              <w:top w:val="nil"/>
              <w:left w:val="nil"/>
              <w:bottom w:val="single" w:color="auto" w:sz="4" w:space="0"/>
              <w:right w:val="single" w:color="auto" w:sz="4" w:space="0"/>
            </w:tcBorders>
            <w:shd w:val="clear" w:color="auto" w:fill="auto"/>
            <w:vAlign w:val="center"/>
          </w:tcPr>
          <w:p w14:paraId="725E5D2D">
            <w:pPr>
              <w:widowControl/>
              <w:jc w:val="right"/>
              <w:rPr>
                <w:rFonts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0F91A54A">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1575" w:type="dxa"/>
            <w:tcBorders>
              <w:top w:val="nil"/>
              <w:left w:val="nil"/>
              <w:bottom w:val="single" w:color="auto" w:sz="4" w:space="0"/>
              <w:right w:val="single" w:color="auto" w:sz="4" w:space="0"/>
            </w:tcBorders>
            <w:shd w:val="clear" w:color="auto" w:fill="auto"/>
            <w:vAlign w:val="center"/>
          </w:tcPr>
          <w:p w14:paraId="38803858">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14:paraId="347FA7D7">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67655098">
            <w:pPr>
              <w:widowControl/>
              <w:jc w:val="left"/>
              <w:rPr>
                <w:rFonts w:ascii="宋体" w:hAnsi="宋体" w:cs="宋体"/>
                <w:color w:val="000000"/>
                <w:kern w:val="0"/>
                <w:sz w:val="20"/>
                <w:szCs w:val="20"/>
              </w:rPr>
            </w:pPr>
          </w:p>
        </w:tc>
        <w:tc>
          <w:tcPr>
            <w:tcW w:w="982" w:type="dxa"/>
            <w:vMerge w:val="continue"/>
            <w:tcBorders>
              <w:top w:val="nil"/>
              <w:left w:val="single" w:color="auto" w:sz="4" w:space="0"/>
              <w:bottom w:val="single" w:color="auto" w:sz="4" w:space="0"/>
              <w:right w:val="single" w:color="auto" w:sz="4" w:space="0"/>
            </w:tcBorders>
            <w:vAlign w:val="center"/>
          </w:tcPr>
          <w:p w14:paraId="199B9EB6">
            <w:pPr>
              <w:widowControl/>
              <w:jc w:val="left"/>
              <w:rPr>
                <w:rFonts w:ascii="宋体" w:hAnsi="宋体" w:cs="宋体"/>
                <w:color w:val="000000"/>
                <w:kern w:val="0"/>
                <w:sz w:val="20"/>
                <w:szCs w:val="20"/>
              </w:rPr>
            </w:pPr>
          </w:p>
        </w:tc>
        <w:tc>
          <w:tcPr>
            <w:tcW w:w="982" w:type="dxa"/>
            <w:tcBorders>
              <w:top w:val="nil"/>
              <w:left w:val="nil"/>
              <w:bottom w:val="single" w:color="auto" w:sz="4" w:space="0"/>
              <w:right w:val="single" w:color="auto" w:sz="4" w:space="0"/>
            </w:tcBorders>
            <w:shd w:val="clear" w:color="auto" w:fill="auto"/>
            <w:vAlign w:val="center"/>
          </w:tcPr>
          <w:p w14:paraId="7F2EB5A1">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972" w:type="dxa"/>
            <w:tcBorders>
              <w:top w:val="nil"/>
              <w:left w:val="nil"/>
              <w:bottom w:val="single" w:color="auto" w:sz="4" w:space="0"/>
              <w:right w:val="single" w:color="auto" w:sz="4" w:space="0"/>
            </w:tcBorders>
            <w:shd w:val="clear" w:color="auto" w:fill="auto"/>
            <w:vAlign w:val="center"/>
          </w:tcPr>
          <w:p w14:paraId="0D30AFF0">
            <w:pPr>
              <w:widowControl/>
              <w:jc w:val="left"/>
              <w:rPr>
                <w:rFonts w:ascii="宋体" w:hAnsi="宋体" w:cs="宋体"/>
                <w:color w:val="000000"/>
                <w:kern w:val="0"/>
                <w:sz w:val="20"/>
                <w:szCs w:val="20"/>
              </w:rPr>
            </w:pPr>
            <w:r>
              <w:rPr>
                <w:rFonts w:hint="eastAsia" w:ascii="宋体" w:hAnsi="宋体" w:cs="宋体"/>
                <w:color w:val="000000"/>
                <w:kern w:val="0"/>
                <w:sz w:val="20"/>
                <w:szCs w:val="20"/>
              </w:rPr>
              <w:t>补助次数</w:t>
            </w:r>
          </w:p>
        </w:tc>
        <w:tc>
          <w:tcPr>
            <w:tcW w:w="995" w:type="dxa"/>
            <w:tcBorders>
              <w:top w:val="nil"/>
              <w:left w:val="nil"/>
              <w:bottom w:val="single" w:color="auto" w:sz="4" w:space="0"/>
              <w:right w:val="single" w:color="auto" w:sz="4" w:space="0"/>
            </w:tcBorders>
            <w:shd w:val="clear" w:color="auto" w:fill="auto"/>
            <w:vAlign w:val="center"/>
          </w:tcPr>
          <w:p w14:paraId="527C3A2B">
            <w:pPr>
              <w:widowControl/>
              <w:jc w:val="left"/>
              <w:rPr>
                <w:rFonts w:ascii="宋体" w:hAnsi="宋体" w:cs="宋体"/>
                <w:color w:val="000000"/>
                <w:kern w:val="0"/>
                <w:sz w:val="20"/>
                <w:szCs w:val="20"/>
              </w:rPr>
            </w:pPr>
            <w:r>
              <w:rPr>
                <w:rFonts w:hint="eastAsia" w:ascii="宋体" w:hAnsi="宋体" w:cs="宋体"/>
                <w:color w:val="000000"/>
                <w:kern w:val="0"/>
                <w:sz w:val="20"/>
                <w:szCs w:val="20"/>
              </w:rPr>
              <w:t>=1次</w:t>
            </w:r>
          </w:p>
        </w:tc>
        <w:tc>
          <w:tcPr>
            <w:tcW w:w="982" w:type="dxa"/>
            <w:tcBorders>
              <w:top w:val="nil"/>
              <w:left w:val="nil"/>
              <w:bottom w:val="single" w:color="auto" w:sz="4" w:space="0"/>
              <w:right w:val="single" w:color="auto" w:sz="4" w:space="0"/>
            </w:tcBorders>
            <w:shd w:val="clear" w:color="auto" w:fill="auto"/>
            <w:vAlign w:val="center"/>
          </w:tcPr>
          <w:p w14:paraId="7B64A128">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7B295797">
            <w:pPr>
              <w:widowControl/>
              <w:jc w:val="left"/>
              <w:rPr>
                <w:rFonts w:ascii="宋体" w:hAnsi="宋体" w:cs="宋体"/>
                <w:color w:val="000000"/>
                <w:kern w:val="0"/>
                <w:sz w:val="20"/>
                <w:szCs w:val="20"/>
              </w:rPr>
            </w:pPr>
            <w:r>
              <w:rPr>
                <w:rFonts w:hint="eastAsia" w:ascii="宋体" w:hAnsi="宋体" w:cs="宋体"/>
                <w:color w:val="000000"/>
                <w:kern w:val="0"/>
                <w:sz w:val="20"/>
                <w:szCs w:val="20"/>
              </w:rPr>
              <w:t>1次</w:t>
            </w:r>
          </w:p>
        </w:tc>
        <w:tc>
          <w:tcPr>
            <w:tcW w:w="749" w:type="dxa"/>
            <w:tcBorders>
              <w:top w:val="nil"/>
              <w:left w:val="nil"/>
              <w:bottom w:val="single" w:color="auto" w:sz="4" w:space="0"/>
              <w:right w:val="single" w:color="auto" w:sz="4" w:space="0"/>
            </w:tcBorders>
            <w:shd w:val="clear" w:color="auto" w:fill="auto"/>
            <w:vAlign w:val="center"/>
          </w:tcPr>
          <w:p w14:paraId="6B3C74B1">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10" w:type="dxa"/>
            <w:tcBorders>
              <w:top w:val="nil"/>
              <w:left w:val="nil"/>
              <w:bottom w:val="single" w:color="auto" w:sz="4" w:space="0"/>
              <w:right w:val="single" w:color="auto" w:sz="4" w:space="0"/>
            </w:tcBorders>
            <w:shd w:val="clear" w:color="auto" w:fill="auto"/>
            <w:vAlign w:val="center"/>
          </w:tcPr>
          <w:p w14:paraId="3FF141EF">
            <w:pPr>
              <w:widowControl/>
              <w:jc w:val="left"/>
              <w:rPr>
                <w:rFonts w:ascii="宋体" w:hAnsi="宋体" w:cs="宋体"/>
                <w:color w:val="000000"/>
                <w:kern w:val="0"/>
                <w:sz w:val="20"/>
                <w:szCs w:val="20"/>
              </w:rPr>
            </w:pPr>
            <w:r>
              <w:rPr>
                <w:rFonts w:hint="eastAsia" w:ascii="宋体" w:hAnsi="宋体" w:cs="宋体"/>
                <w:color w:val="000000"/>
                <w:kern w:val="0"/>
                <w:sz w:val="20"/>
                <w:szCs w:val="20"/>
              </w:rPr>
              <w:t>按照正常比例赋分</w:t>
            </w:r>
          </w:p>
        </w:tc>
        <w:tc>
          <w:tcPr>
            <w:tcW w:w="691" w:type="dxa"/>
            <w:tcBorders>
              <w:top w:val="nil"/>
              <w:left w:val="nil"/>
              <w:bottom w:val="single" w:color="auto" w:sz="4" w:space="0"/>
              <w:right w:val="single" w:color="auto" w:sz="4" w:space="0"/>
            </w:tcBorders>
            <w:shd w:val="clear" w:color="auto" w:fill="auto"/>
            <w:vAlign w:val="center"/>
          </w:tcPr>
          <w:p w14:paraId="5573359C">
            <w:pPr>
              <w:widowControl/>
              <w:jc w:val="left"/>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998" w:type="dxa"/>
            <w:tcBorders>
              <w:top w:val="nil"/>
              <w:left w:val="nil"/>
              <w:bottom w:val="single" w:color="auto" w:sz="4" w:space="0"/>
              <w:right w:val="single" w:color="auto" w:sz="4" w:space="0"/>
            </w:tcBorders>
            <w:shd w:val="clear" w:color="auto" w:fill="auto"/>
            <w:vAlign w:val="center"/>
          </w:tcPr>
          <w:p w14:paraId="7438CF83">
            <w:pPr>
              <w:widowControl/>
              <w:jc w:val="center"/>
              <w:rPr>
                <w:rFonts w:ascii="宋体" w:hAnsi="宋体" w:cs="宋体"/>
                <w:color w:val="000000"/>
                <w:kern w:val="0"/>
                <w:sz w:val="18"/>
                <w:szCs w:val="18"/>
              </w:rPr>
            </w:pPr>
            <w:r>
              <w:rPr>
                <w:rFonts w:hint="eastAsia" w:ascii="宋体" w:hAnsi="宋体" w:cs="宋体"/>
                <w:color w:val="000000"/>
                <w:kern w:val="0"/>
                <w:sz w:val="18"/>
                <w:szCs w:val="18"/>
              </w:rPr>
              <w:t>=1次</w:t>
            </w:r>
          </w:p>
        </w:tc>
        <w:tc>
          <w:tcPr>
            <w:tcW w:w="916" w:type="dxa"/>
            <w:tcBorders>
              <w:top w:val="nil"/>
              <w:left w:val="nil"/>
              <w:bottom w:val="single" w:color="auto" w:sz="4" w:space="0"/>
              <w:right w:val="single" w:color="auto" w:sz="4" w:space="0"/>
            </w:tcBorders>
            <w:shd w:val="clear" w:color="auto" w:fill="auto"/>
            <w:vAlign w:val="center"/>
          </w:tcPr>
          <w:p w14:paraId="063DEB96">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27CD9C78">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1575" w:type="dxa"/>
            <w:tcBorders>
              <w:top w:val="nil"/>
              <w:left w:val="nil"/>
              <w:bottom w:val="single" w:color="auto" w:sz="4" w:space="0"/>
              <w:right w:val="single" w:color="auto" w:sz="4" w:space="0"/>
            </w:tcBorders>
            <w:shd w:val="clear" w:color="auto" w:fill="auto"/>
            <w:vAlign w:val="center"/>
          </w:tcPr>
          <w:p w14:paraId="20E7B9DA">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14:paraId="79D93EF0">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514BA5C0">
            <w:pPr>
              <w:widowControl/>
              <w:jc w:val="left"/>
              <w:rPr>
                <w:rFonts w:ascii="宋体" w:hAnsi="宋体" w:cs="宋体"/>
                <w:color w:val="000000"/>
                <w:kern w:val="0"/>
                <w:sz w:val="20"/>
                <w:szCs w:val="20"/>
              </w:rPr>
            </w:pPr>
          </w:p>
        </w:tc>
        <w:tc>
          <w:tcPr>
            <w:tcW w:w="982" w:type="dxa"/>
            <w:vMerge w:val="continue"/>
            <w:tcBorders>
              <w:top w:val="nil"/>
              <w:left w:val="single" w:color="auto" w:sz="4" w:space="0"/>
              <w:bottom w:val="single" w:color="auto" w:sz="4" w:space="0"/>
              <w:right w:val="single" w:color="auto" w:sz="4" w:space="0"/>
            </w:tcBorders>
            <w:vAlign w:val="center"/>
          </w:tcPr>
          <w:p w14:paraId="2646CE01">
            <w:pPr>
              <w:widowControl/>
              <w:jc w:val="left"/>
              <w:rPr>
                <w:rFonts w:ascii="宋体" w:hAnsi="宋体" w:cs="宋体"/>
                <w:color w:val="000000"/>
                <w:kern w:val="0"/>
                <w:sz w:val="20"/>
                <w:szCs w:val="20"/>
              </w:rPr>
            </w:pPr>
          </w:p>
        </w:tc>
        <w:tc>
          <w:tcPr>
            <w:tcW w:w="982" w:type="dxa"/>
            <w:tcBorders>
              <w:top w:val="nil"/>
              <w:left w:val="nil"/>
              <w:bottom w:val="single" w:color="auto" w:sz="4" w:space="0"/>
              <w:right w:val="single" w:color="auto" w:sz="4" w:space="0"/>
            </w:tcBorders>
            <w:shd w:val="clear" w:color="auto" w:fill="auto"/>
            <w:vAlign w:val="center"/>
          </w:tcPr>
          <w:p w14:paraId="04E1BA87">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972" w:type="dxa"/>
            <w:tcBorders>
              <w:top w:val="nil"/>
              <w:left w:val="nil"/>
              <w:bottom w:val="single" w:color="auto" w:sz="4" w:space="0"/>
              <w:right w:val="single" w:color="auto" w:sz="4" w:space="0"/>
            </w:tcBorders>
            <w:shd w:val="clear" w:color="auto" w:fill="auto"/>
            <w:vAlign w:val="center"/>
          </w:tcPr>
          <w:p w14:paraId="576EDF9E">
            <w:pPr>
              <w:widowControl/>
              <w:jc w:val="left"/>
              <w:rPr>
                <w:rFonts w:ascii="宋体" w:hAnsi="宋体" w:cs="宋体"/>
                <w:color w:val="000000"/>
                <w:kern w:val="0"/>
                <w:sz w:val="20"/>
                <w:szCs w:val="20"/>
              </w:rPr>
            </w:pPr>
            <w:r>
              <w:rPr>
                <w:rFonts w:hint="eastAsia" w:ascii="宋体" w:hAnsi="宋体" w:cs="宋体"/>
                <w:color w:val="000000"/>
                <w:kern w:val="0"/>
                <w:sz w:val="20"/>
                <w:szCs w:val="20"/>
              </w:rPr>
              <w:t>爱耳日与残疾预防日宣传场次</w:t>
            </w:r>
          </w:p>
        </w:tc>
        <w:tc>
          <w:tcPr>
            <w:tcW w:w="995" w:type="dxa"/>
            <w:tcBorders>
              <w:top w:val="nil"/>
              <w:left w:val="nil"/>
              <w:bottom w:val="single" w:color="auto" w:sz="4" w:space="0"/>
              <w:right w:val="single" w:color="auto" w:sz="4" w:space="0"/>
            </w:tcBorders>
            <w:shd w:val="clear" w:color="auto" w:fill="auto"/>
            <w:vAlign w:val="center"/>
          </w:tcPr>
          <w:p w14:paraId="090AD35A">
            <w:pPr>
              <w:widowControl/>
              <w:jc w:val="left"/>
              <w:rPr>
                <w:rFonts w:ascii="宋体" w:hAnsi="宋体" w:cs="宋体"/>
                <w:color w:val="000000"/>
                <w:kern w:val="0"/>
                <w:sz w:val="20"/>
                <w:szCs w:val="20"/>
              </w:rPr>
            </w:pPr>
            <w:r>
              <w:rPr>
                <w:rFonts w:hint="eastAsia" w:ascii="宋体" w:hAnsi="宋体" w:cs="宋体"/>
                <w:color w:val="000000"/>
                <w:kern w:val="0"/>
                <w:sz w:val="20"/>
                <w:szCs w:val="20"/>
              </w:rPr>
              <w:t>&gt;=2场次</w:t>
            </w:r>
          </w:p>
        </w:tc>
        <w:tc>
          <w:tcPr>
            <w:tcW w:w="982" w:type="dxa"/>
            <w:tcBorders>
              <w:top w:val="nil"/>
              <w:left w:val="nil"/>
              <w:bottom w:val="single" w:color="auto" w:sz="4" w:space="0"/>
              <w:right w:val="single" w:color="auto" w:sz="4" w:space="0"/>
            </w:tcBorders>
            <w:shd w:val="clear" w:color="auto" w:fill="auto"/>
            <w:vAlign w:val="center"/>
          </w:tcPr>
          <w:p w14:paraId="67493BDD">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7252EC85">
            <w:pPr>
              <w:widowControl/>
              <w:jc w:val="left"/>
              <w:rPr>
                <w:rFonts w:ascii="宋体" w:hAnsi="宋体" w:cs="宋体"/>
                <w:color w:val="000000"/>
                <w:kern w:val="0"/>
                <w:sz w:val="20"/>
                <w:szCs w:val="20"/>
              </w:rPr>
            </w:pPr>
            <w:r>
              <w:rPr>
                <w:rFonts w:hint="eastAsia" w:ascii="宋体" w:hAnsi="宋体" w:cs="宋体"/>
                <w:color w:val="000000"/>
                <w:kern w:val="0"/>
                <w:sz w:val="20"/>
                <w:szCs w:val="20"/>
              </w:rPr>
              <w:t>2场次</w:t>
            </w:r>
          </w:p>
        </w:tc>
        <w:tc>
          <w:tcPr>
            <w:tcW w:w="749" w:type="dxa"/>
            <w:tcBorders>
              <w:top w:val="nil"/>
              <w:left w:val="nil"/>
              <w:bottom w:val="single" w:color="auto" w:sz="4" w:space="0"/>
              <w:right w:val="single" w:color="auto" w:sz="4" w:space="0"/>
            </w:tcBorders>
            <w:shd w:val="clear" w:color="auto" w:fill="auto"/>
            <w:vAlign w:val="center"/>
          </w:tcPr>
          <w:p w14:paraId="7C91DD09">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10" w:type="dxa"/>
            <w:tcBorders>
              <w:top w:val="nil"/>
              <w:left w:val="nil"/>
              <w:bottom w:val="single" w:color="auto" w:sz="4" w:space="0"/>
              <w:right w:val="single" w:color="auto" w:sz="4" w:space="0"/>
            </w:tcBorders>
            <w:shd w:val="clear" w:color="auto" w:fill="auto"/>
            <w:vAlign w:val="center"/>
          </w:tcPr>
          <w:p w14:paraId="5A1FCAA3">
            <w:pPr>
              <w:widowControl/>
              <w:jc w:val="left"/>
              <w:rPr>
                <w:rFonts w:ascii="宋体" w:hAnsi="宋体" w:cs="宋体"/>
                <w:color w:val="000000"/>
                <w:kern w:val="0"/>
                <w:sz w:val="20"/>
                <w:szCs w:val="20"/>
              </w:rPr>
            </w:pPr>
            <w:r>
              <w:rPr>
                <w:rFonts w:hint="eastAsia" w:ascii="宋体" w:hAnsi="宋体" w:cs="宋体"/>
                <w:color w:val="000000"/>
                <w:kern w:val="0"/>
                <w:sz w:val="20"/>
                <w:szCs w:val="20"/>
              </w:rPr>
              <w:t>按照正常比例赋分</w:t>
            </w:r>
          </w:p>
        </w:tc>
        <w:tc>
          <w:tcPr>
            <w:tcW w:w="691" w:type="dxa"/>
            <w:tcBorders>
              <w:top w:val="nil"/>
              <w:left w:val="nil"/>
              <w:bottom w:val="single" w:color="auto" w:sz="4" w:space="0"/>
              <w:right w:val="single" w:color="auto" w:sz="4" w:space="0"/>
            </w:tcBorders>
            <w:shd w:val="clear" w:color="auto" w:fill="auto"/>
            <w:vAlign w:val="center"/>
          </w:tcPr>
          <w:p w14:paraId="03C46C60">
            <w:pPr>
              <w:widowControl/>
              <w:jc w:val="left"/>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998" w:type="dxa"/>
            <w:tcBorders>
              <w:top w:val="nil"/>
              <w:left w:val="nil"/>
              <w:bottom w:val="single" w:color="auto" w:sz="4" w:space="0"/>
              <w:right w:val="single" w:color="auto" w:sz="4" w:space="0"/>
            </w:tcBorders>
            <w:shd w:val="clear" w:color="auto" w:fill="auto"/>
            <w:vAlign w:val="center"/>
          </w:tcPr>
          <w:p w14:paraId="3CC3869C">
            <w:pPr>
              <w:widowControl/>
              <w:jc w:val="center"/>
              <w:rPr>
                <w:rFonts w:ascii="宋体" w:hAnsi="宋体" w:cs="宋体"/>
                <w:color w:val="000000"/>
                <w:kern w:val="0"/>
                <w:sz w:val="18"/>
                <w:szCs w:val="18"/>
              </w:rPr>
            </w:pPr>
            <w:r>
              <w:rPr>
                <w:rFonts w:hint="eastAsia" w:ascii="宋体" w:hAnsi="宋体" w:cs="宋体"/>
                <w:color w:val="000000"/>
                <w:kern w:val="0"/>
                <w:sz w:val="18"/>
                <w:szCs w:val="18"/>
              </w:rPr>
              <w:t>巴财社[2023]83号关于提前下达2024年自治区财政残疾人事业发展补助资金</w:t>
            </w:r>
          </w:p>
        </w:tc>
        <w:tc>
          <w:tcPr>
            <w:tcW w:w="916" w:type="dxa"/>
            <w:tcBorders>
              <w:top w:val="nil"/>
              <w:left w:val="nil"/>
              <w:bottom w:val="single" w:color="auto" w:sz="4" w:space="0"/>
              <w:right w:val="single" w:color="auto" w:sz="4" w:space="0"/>
            </w:tcBorders>
            <w:shd w:val="clear" w:color="auto" w:fill="auto"/>
            <w:vAlign w:val="center"/>
          </w:tcPr>
          <w:p w14:paraId="0ABD91A0">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7737470E">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1575" w:type="dxa"/>
            <w:tcBorders>
              <w:top w:val="nil"/>
              <w:left w:val="nil"/>
              <w:bottom w:val="single" w:color="auto" w:sz="4" w:space="0"/>
              <w:right w:val="single" w:color="auto" w:sz="4" w:space="0"/>
            </w:tcBorders>
            <w:shd w:val="clear" w:color="auto" w:fill="auto"/>
            <w:vAlign w:val="center"/>
          </w:tcPr>
          <w:p w14:paraId="731462B2">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14:paraId="3184A597">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3AA1B142">
            <w:pPr>
              <w:widowControl/>
              <w:jc w:val="left"/>
              <w:rPr>
                <w:rFonts w:ascii="宋体" w:hAnsi="宋体" w:cs="宋体"/>
                <w:color w:val="000000"/>
                <w:kern w:val="0"/>
                <w:sz w:val="20"/>
                <w:szCs w:val="20"/>
              </w:rPr>
            </w:pPr>
          </w:p>
        </w:tc>
        <w:tc>
          <w:tcPr>
            <w:tcW w:w="982" w:type="dxa"/>
            <w:vMerge w:val="continue"/>
            <w:tcBorders>
              <w:top w:val="nil"/>
              <w:left w:val="single" w:color="auto" w:sz="4" w:space="0"/>
              <w:bottom w:val="single" w:color="auto" w:sz="4" w:space="0"/>
              <w:right w:val="single" w:color="auto" w:sz="4" w:space="0"/>
            </w:tcBorders>
            <w:vAlign w:val="center"/>
          </w:tcPr>
          <w:p w14:paraId="5FEA8B5F">
            <w:pPr>
              <w:widowControl/>
              <w:jc w:val="left"/>
              <w:rPr>
                <w:rFonts w:ascii="宋体" w:hAnsi="宋体" w:cs="宋体"/>
                <w:color w:val="000000"/>
                <w:kern w:val="0"/>
                <w:sz w:val="20"/>
                <w:szCs w:val="20"/>
              </w:rPr>
            </w:pPr>
          </w:p>
        </w:tc>
        <w:tc>
          <w:tcPr>
            <w:tcW w:w="982" w:type="dxa"/>
            <w:tcBorders>
              <w:top w:val="nil"/>
              <w:left w:val="nil"/>
              <w:bottom w:val="single" w:color="auto" w:sz="4" w:space="0"/>
              <w:right w:val="single" w:color="auto" w:sz="4" w:space="0"/>
            </w:tcBorders>
            <w:shd w:val="clear" w:color="auto" w:fill="auto"/>
            <w:vAlign w:val="center"/>
          </w:tcPr>
          <w:p w14:paraId="2FD3BDFB">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972" w:type="dxa"/>
            <w:tcBorders>
              <w:top w:val="nil"/>
              <w:left w:val="nil"/>
              <w:bottom w:val="single" w:color="auto" w:sz="4" w:space="0"/>
              <w:right w:val="single" w:color="auto" w:sz="4" w:space="0"/>
            </w:tcBorders>
            <w:shd w:val="clear" w:color="auto" w:fill="auto"/>
            <w:vAlign w:val="center"/>
          </w:tcPr>
          <w:p w14:paraId="332BFB49">
            <w:pPr>
              <w:widowControl/>
              <w:jc w:val="left"/>
              <w:rPr>
                <w:rFonts w:ascii="宋体" w:hAnsi="宋体" w:cs="宋体"/>
                <w:color w:val="000000"/>
                <w:kern w:val="0"/>
                <w:sz w:val="20"/>
                <w:szCs w:val="20"/>
              </w:rPr>
            </w:pPr>
            <w:r>
              <w:rPr>
                <w:rFonts w:hint="eastAsia" w:ascii="宋体" w:hAnsi="宋体" w:cs="宋体"/>
                <w:color w:val="000000"/>
                <w:kern w:val="0"/>
                <w:sz w:val="20"/>
                <w:szCs w:val="20"/>
              </w:rPr>
              <w:t>动态更新专项调查人数</w:t>
            </w:r>
          </w:p>
        </w:tc>
        <w:tc>
          <w:tcPr>
            <w:tcW w:w="995" w:type="dxa"/>
            <w:tcBorders>
              <w:top w:val="nil"/>
              <w:left w:val="nil"/>
              <w:bottom w:val="single" w:color="auto" w:sz="4" w:space="0"/>
              <w:right w:val="single" w:color="auto" w:sz="4" w:space="0"/>
            </w:tcBorders>
            <w:shd w:val="clear" w:color="auto" w:fill="auto"/>
            <w:vAlign w:val="center"/>
          </w:tcPr>
          <w:p w14:paraId="37A6FE46">
            <w:pPr>
              <w:widowControl/>
              <w:jc w:val="left"/>
              <w:rPr>
                <w:rFonts w:ascii="宋体" w:hAnsi="宋体" w:cs="宋体"/>
                <w:color w:val="000000"/>
                <w:kern w:val="0"/>
                <w:sz w:val="20"/>
                <w:szCs w:val="20"/>
              </w:rPr>
            </w:pPr>
            <w:r>
              <w:rPr>
                <w:rFonts w:hint="eastAsia" w:ascii="宋体" w:hAnsi="宋体" w:cs="宋体"/>
                <w:color w:val="000000"/>
                <w:kern w:val="0"/>
                <w:sz w:val="20"/>
                <w:szCs w:val="20"/>
              </w:rPr>
              <w:t>&gt;=1550人</w:t>
            </w:r>
          </w:p>
        </w:tc>
        <w:tc>
          <w:tcPr>
            <w:tcW w:w="982" w:type="dxa"/>
            <w:tcBorders>
              <w:top w:val="nil"/>
              <w:left w:val="nil"/>
              <w:bottom w:val="single" w:color="auto" w:sz="4" w:space="0"/>
              <w:right w:val="single" w:color="auto" w:sz="4" w:space="0"/>
            </w:tcBorders>
            <w:shd w:val="clear" w:color="auto" w:fill="auto"/>
            <w:vAlign w:val="center"/>
          </w:tcPr>
          <w:p w14:paraId="295D15D2">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70A8BEA6">
            <w:pPr>
              <w:widowControl/>
              <w:jc w:val="left"/>
              <w:rPr>
                <w:rFonts w:ascii="宋体" w:hAnsi="宋体" w:cs="宋体"/>
                <w:color w:val="000000"/>
                <w:kern w:val="0"/>
                <w:sz w:val="20"/>
                <w:szCs w:val="20"/>
              </w:rPr>
            </w:pPr>
            <w:r>
              <w:rPr>
                <w:rFonts w:hint="eastAsia" w:ascii="宋体" w:hAnsi="宋体" w:cs="宋体"/>
                <w:color w:val="000000"/>
                <w:kern w:val="0"/>
                <w:sz w:val="20"/>
                <w:szCs w:val="20"/>
              </w:rPr>
              <w:t>-</w:t>
            </w:r>
          </w:p>
        </w:tc>
        <w:tc>
          <w:tcPr>
            <w:tcW w:w="749" w:type="dxa"/>
            <w:tcBorders>
              <w:top w:val="nil"/>
              <w:left w:val="nil"/>
              <w:bottom w:val="single" w:color="auto" w:sz="4" w:space="0"/>
              <w:right w:val="single" w:color="auto" w:sz="4" w:space="0"/>
            </w:tcBorders>
            <w:shd w:val="clear" w:color="auto" w:fill="auto"/>
            <w:vAlign w:val="center"/>
          </w:tcPr>
          <w:p w14:paraId="7FCA6053">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10" w:type="dxa"/>
            <w:tcBorders>
              <w:top w:val="nil"/>
              <w:left w:val="nil"/>
              <w:bottom w:val="single" w:color="auto" w:sz="4" w:space="0"/>
              <w:right w:val="single" w:color="auto" w:sz="4" w:space="0"/>
            </w:tcBorders>
            <w:shd w:val="clear" w:color="auto" w:fill="auto"/>
            <w:vAlign w:val="center"/>
          </w:tcPr>
          <w:p w14:paraId="7E273274">
            <w:pPr>
              <w:widowControl/>
              <w:jc w:val="left"/>
              <w:rPr>
                <w:rFonts w:ascii="宋体" w:hAnsi="宋体" w:cs="宋体"/>
                <w:color w:val="000000"/>
                <w:kern w:val="0"/>
                <w:sz w:val="20"/>
                <w:szCs w:val="20"/>
              </w:rPr>
            </w:pPr>
            <w:r>
              <w:rPr>
                <w:rFonts w:hint="eastAsia" w:ascii="宋体" w:hAnsi="宋体" w:cs="宋体"/>
                <w:color w:val="000000"/>
                <w:kern w:val="0"/>
                <w:sz w:val="20"/>
                <w:szCs w:val="20"/>
              </w:rPr>
              <w:t>按照正常比例赋分</w:t>
            </w:r>
          </w:p>
        </w:tc>
        <w:tc>
          <w:tcPr>
            <w:tcW w:w="691" w:type="dxa"/>
            <w:tcBorders>
              <w:top w:val="nil"/>
              <w:left w:val="nil"/>
              <w:bottom w:val="single" w:color="auto" w:sz="4" w:space="0"/>
              <w:right w:val="single" w:color="auto" w:sz="4" w:space="0"/>
            </w:tcBorders>
            <w:shd w:val="clear" w:color="auto" w:fill="auto"/>
            <w:vAlign w:val="center"/>
          </w:tcPr>
          <w:p w14:paraId="1923B53A">
            <w:pPr>
              <w:widowControl/>
              <w:jc w:val="left"/>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998" w:type="dxa"/>
            <w:tcBorders>
              <w:top w:val="nil"/>
              <w:left w:val="nil"/>
              <w:bottom w:val="single" w:color="auto" w:sz="4" w:space="0"/>
              <w:right w:val="single" w:color="auto" w:sz="4" w:space="0"/>
            </w:tcBorders>
            <w:shd w:val="clear" w:color="auto" w:fill="auto"/>
            <w:vAlign w:val="center"/>
          </w:tcPr>
          <w:p w14:paraId="2AEA3970">
            <w:pPr>
              <w:widowControl/>
              <w:jc w:val="center"/>
              <w:rPr>
                <w:rFonts w:ascii="宋体" w:hAnsi="宋体" w:cs="宋体"/>
                <w:color w:val="000000"/>
                <w:kern w:val="0"/>
                <w:sz w:val="18"/>
                <w:szCs w:val="18"/>
              </w:rPr>
            </w:pPr>
            <w:r>
              <w:rPr>
                <w:rFonts w:hint="eastAsia" w:ascii="宋体" w:hAnsi="宋体" w:cs="宋体"/>
                <w:color w:val="000000"/>
                <w:kern w:val="0"/>
                <w:sz w:val="18"/>
                <w:szCs w:val="18"/>
              </w:rPr>
              <w:t>=1533人</w:t>
            </w:r>
          </w:p>
        </w:tc>
        <w:tc>
          <w:tcPr>
            <w:tcW w:w="916" w:type="dxa"/>
            <w:tcBorders>
              <w:top w:val="nil"/>
              <w:left w:val="nil"/>
              <w:bottom w:val="single" w:color="auto" w:sz="4" w:space="0"/>
              <w:right w:val="single" w:color="auto" w:sz="4" w:space="0"/>
            </w:tcBorders>
            <w:shd w:val="clear" w:color="auto" w:fill="auto"/>
            <w:vAlign w:val="center"/>
          </w:tcPr>
          <w:p w14:paraId="066675F2">
            <w:pPr>
              <w:widowControl/>
              <w:jc w:val="left"/>
              <w:rPr>
                <w:rFonts w:ascii="宋体" w:hAnsi="宋体" w:cs="宋体"/>
                <w:color w:val="000000"/>
                <w:kern w:val="0"/>
                <w:sz w:val="20"/>
                <w:szCs w:val="20"/>
              </w:rPr>
            </w:pPr>
            <w:r>
              <w:rPr>
                <w:rFonts w:hint="eastAsia" w:ascii="宋体" w:hAnsi="宋体" w:cs="宋体"/>
                <w:color w:val="000000"/>
                <w:kern w:val="0"/>
                <w:sz w:val="20"/>
                <w:szCs w:val="20"/>
              </w:rPr>
              <w:t>98.9%</w:t>
            </w:r>
          </w:p>
        </w:tc>
        <w:tc>
          <w:tcPr>
            <w:tcW w:w="680" w:type="dxa"/>
            <w:tcBorders>
              <w:top w:val="nil"/>
              <w:left w:val="nil"/>
              <w:bottom w:val="single" w:color="auto" w:sz="4" w:space="0"/>
              <w:right w:val="single" w:color="auto" w:sz="4" w:space="0"/>
            </w:tcBorders>
            <w:shd w:val="clear" w:color="auto" w:fill="auto"/>
            <w:vAlign w:val="center"/>
          </w:tcPr>
          <w:p w14:paraId="56636DEA">
            <w:pPr>
              <w:widowControl/>
              <w:jc w:val="center"/>
              <w:rPr>
                <w:rFonts w:ascii="宋体" w:hAnsi="宋体" w:cs="宋体"/>
                <w:color w:val="000000"/>
                <w:kern w:val="0"/>
                <w:sz w:val="18"/>
                <w:szCs w:val="18"/>
              </w:rPr>
            </w:pPr>
            <w:r>
              <w:rPr>
                <w:rFonts w:hint="eastAsia" w:ascii="宋体" w:hAnsi="宋体" w:cs="宋体"/>
                <w:color w:val="000000"/>
                <w:kern w:val="0"/>
                <w:sz w:val="18"/>
                <w:szCs w:val="18"/>
              </w:rPr>
              <w:t>2.92</w:t>
            </w:r>
          </w:p>
        </w:tc>
        <w:tc>
          <w:tcPr>
            <w:tcW w:w="1575" w:type="dxa"/>
            <w:tcBorders>
              <w:top w:val="nil"/>
              <w:left w:val="nil"/>
              <w:bottom w:val="single" w:color="auto" w:sz="4" w:space="0"/>
              <w:right w:val="single" w:color="auto" w:sz="4" w:space="0"/>
            </w:tcBorders>
            <w:shd w:val="clear" w:color="auto" w:fill="auto"/>
            <w:vAlign w:val="center"/>
          </w:tcPr>
          <w:p w14:paraId="3C12EE57">
            <w:pPr>
              <w:widowControl/>
              <w:jc w:val="center"/>
              <w:rPr>
                <w:rFonts w:ascii="宋体" w:hAnsi="宋体" w:cs="宋体"/>
                <w:color w:val="000000"/>
                <w:kern w:val="0"/>
                <w:sz w:val="18"/>
                <w:szCs w:val="18"/>
              </w:rPr>
            </w:pPr>
            <w:r>
              <w:rPr>
                <w:rFonts w:hint="eastAsia" w:ascii="宋体" w:hAnsi="宋体" w:cs="宋体"/>
                <w:color w:val="000000"/>
                <w:kern w:val="0"/>
                <w:sz w:val="18"/>
                <w:szCs w:val="18"/>
              </w:rPr>
              <w:t>偏差原因：动态更新调查不精准；改进措施：对符合要求的残疾人</w:t>
            </w:r>
            <w:bookmarkStart w:id="77" w:name="_GoBack"/>
            <w:r>
              <w:rPr>
                <w:rFonts w:hint="eastAsia" w:ascii="宋体" w:hAnsi="宋体" w:cs="宋体"/>
                <w:color w:val="000000"/>
                <w:kern w:val="0"/>
                <w:sz w:val="18"/>
                <w:szCs w:val="18"/>
                <w:lang w:eastAsia="zh-CN"/>
              </w:rPr>
              <w:t>建立台账</w:t>
            </w:r>
            <w:bookmarkEnd w:id="77"/>
            <w:r>
              <w:rPr>
                <w:rFonts w:hint="eastAsia" w:ascii="宋体" w:hAnsi="宋体" w:cs="宋体"/>
                <w:color w:val="000000"/>
                <w:kern w:val="0"/>
                <w:sz w:val="18"/>
                <w:szCs w:val="18"/>
              </w:rPr>
              <w:t>。</w:t>
            </w:r>
          </w:p>
        </w:tc>
      </w:tr>
      <w:tr w14:paraId="0E909697">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3EA1D6F7">
            <w:pPr>
              <w:widowControl/>
              <w:jc w:val="left"/>
              <w:rPr>
                <w:rFonts w:ascii="宋体" w:hAnsi="宋体" w:cs="宋体"/>
                <w:color w:val="000000"/>
                <w:kern w:val="0"/>
                <w:sz w:val="20"/>
                <w:szCs w:val="20"/>
              </w:rPr>
            </w:pPr>
          </w:p>
        </w:tc>
        <w:tc>
          <w:tcPr>
            <w:tcW w:w="982" w:type="dxa"/>
            <w:vMerge w:val="continue"/>
            <w:tcBorders>
              <w:top w:val="nil"/>
              <w:left w:val="single" w:color="auto" w:sz="4" w:space="0"/>
              <w:bottom w:val="single" w:color="auto" w:sz="4" w:space="0"/>
              <w:right w:val="single" w:color="auto" w:sz="4" w:space="0"/>
            </w:tcBorders>
            <w:vAlign w:val="center"/>
          </w:tcPr>
          <w:p w14:paraId="2BB7FB58">
            <w:pPr>
              <w:widowControl/>
              <w:jc w:val="left"/>
              <w:rPr>
                <w:rFonts w:ascii="宋体" w:hAnsi="宋体" w:cs="宋体"/>
                <w:color w:val="000000"/>
                <w:kern w:val="0"/>
                <w:sz w:val="20"/>
                <w:szCs w:val="20"/>
              </w:rPr>
            </w:pPr>
          </w:p>
        </w:tc>
        <w:tc>
          <w:tcPr>
            <w:tcW w:w="982" w:type="dxa"/>
            <w:tcBorders>
              <w:top w:val="nil"/>
              <w:left w:val="nil"/>
              <w:bottom w:val="single" w:color="auto" w:sz="4" w:space="0"/>
              <w:right w:val="single" w:color="auto" w:sz="4" w:space="0"/>
            </w:tcBorders>
            <w:shd w:val="clear" w:color="auto" w:fill="auto"/>
            <w:vAlign w:val="center"/>
          </w:tcPr>
          <w:p w14:paraId="2EC81075">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972" w:type="dxa"/>
            <w:tcBorders>
              <w:top w:val="nil"/>
              <w:left w:val="nil"/>
              <w:bottom w:val="single" w:color="auto" w:sz="4" w:space="0"/>
              <w:right w:val="single" w:color="auto" w:sz="4" w:space="0"/>
            </w:tcBorders>
            <w:shd w:val="clear" w:color="auto" w:fill="auto"/>
            <w:vAlign w:val="center"/>
          </w:tcPr>
          <w:p w14:paraId="3E7925E4">
            <w:pPr>
              <w:widowControl/>
              <w:jc w:val="left"/>
              <w:rPr>
                <w:rFonts w:ascii="宋体" w:hAnsi="宋体" w:cs="宋体"/>
                <w:color w:val="000000"/>
                <w:kern w:val="0"/>
                <w:sz w:val="20"/>
                <w:szCs w:val="20"/>
              </w:rPr>
            </w:pPr>
            <w:r>
              <w:rPr>
                <w:rFonts w:hint="eastAsia" w:ascii="宋体" w:hAnsi="宋体" w:cs="宋体"/>
                <w:color w:val="000000"/>
                <w:kern w:val="0"/>
                <w:sz w:val="20"/>
                <w:szCs w:val="20"/>
              </w:rPr>
              <w:t>采购制卡机设备数</w:t>
            </w:r>
          </w:p>
        </w:tc>
        <w:tc>
          <w:tcPr>
            <w:tcW w:w="995" w:type="dxa"/>
            <w:tcBorders>
              <w:top w:val="nil"/>
              <w:left w:val="nil"/>
              <w:bottom w:val="single" w:color="auto" w:sz="4" w:space="0"/>
              <w:right w:val="single" w:color="auto" w:sz="4" w:space="0"/>
            </w:tcBorders>
            <w:shd w:val="clear" w:color="auto" w:fill="auto"/>
            <w:vAlign w:val="center"/>
          </w:tcPr>
          <w:p w14:paraId="2F95FED4">
            <w:pPr>
              <w:widowControl/>
              <w:jc w:val="left"/>
              <w:rPr>
                <w:rFonts w:ascii="宋体" w:hAnsi="宋体" w:cs="宋体"/>
                <w:color w:val="000000"/>
                <w:kern w:val="0"/>
                <w:sz w:val="20"/>
                <w:szCs w:val="20"/>
              </w:rPr>
            </w:pPr>
            <w:r>
              <w:rPr>
                <w:rFonts w:hint="eastAsia" w:ascii="宋体" w:hAnsi="宋体" w:cs="宋体"/>
                <w:color w:val="000000"/>
                <w:kern w:val="0"/>
                <w:sz w:val="20"/>
                <w:szCs w:val="20"/>
              </w:rPr>
              <w:t>&gt;=1台</w:t>
            </w:r>
          </w:p>
        </w:tc>
        <w:tc>
          <w:tcPr>
            <w:tcW w:w="982" w:type="dxa"/>
            <w:tcBorders>
              <w:top w:val="nil"/>
              <w:left w:val="nil"/>
              <w:bottom w:val="single" w:color="auto" w:sz="4" w:space="0"/>
              <w:right w:val="single" w:color="auto" w:sz="4" w:space="0"/>
            </w:tcBorders>
            <w:shd w:val="clear" w:color="auto" w:fill="auto"/>
            <w:vAlign w:val="center"/>
          </w:tcPr>
          <w:p w14:paraId="5ECC1C45">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352279D7">
            <w:pPr>
              <w:widowControl/>
              <w:jc w:val="left"/>
              <w:rPr>
                <w:rFonts w:ascii="宋体" w:hAnsi="宋体" w:cs="宋体"/>
                <w:color w:val="000000"/>
                <w:kern w:val="0"/>
                <w:sz w:val="20"/>
                <w:szCs w:val="20"/>
              </w:rPr>
            </w:pPr>
            <w:r>
              <w:rPr>
                <w:rFonts w:hint="eastAsia" w:ascii="宋体" w:hAnsi="宋体" w:cs="宋体"/>
                <w:color w:val="000000"/>
                <w:kern w:val="0"/>
                <w:sz w:val="20"/>
                <w:szCs w:val="20"/>
              </w:rPr>
              <w:t>-</w:t>
            </w:r>
          </w:p>
        </w:tc>
        <w:tc>
          <w:tcPr>
            <w:tcW w:w="749" w:type="dxa"/>
            <w:tcBorders>
              <w:top w:val="nil"/>
              <w:left w:val="nil"/>
              <w:bottom w:val="single" w:color="auto" w:sz="4" w:space="0"/>
              <w:right w:val="single" w:color="auto" w:sz="4" w:space="0"/>
            </w:tcBorders>
            <w:shd w:val="clear" w:color="auto" w:fill="auto"/>
            <w:vAlign w:val="center"/>
          </w:tcPr>
          <w:p w14:paraId="6B66FAF3">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10" w:type="dxa"/>
            <w:tcBorders>
              <w:top w:val="nil"/>
              <w:left w:val="nil"/>
              <w:bottom w:val="single" w:color="auto" w:sz="4" w:space="0"/>
              <w:right w:val="single" w:color="auto" w:sz="4" w:space="0"/>
            </w:tcBorders>
            <w:shd w:val="clear" w:color="auto" w:fill="auto"/>
            <w:vAlign w:val="center"/>
          </w:tcPr>
          <w:p w14:paraId="3961D7C3">
            <w:pPr>
              <w:widowControl/>
              <w:jc w:val="left"/>
              <w:rPr>
                <w:rFonts w:ascii="宋体" w:hAnsi="宋体" w:cs="宋体"/>
                <w:color w:val="000000"/>
                <w:kern w:val="0"/>
                <w:sz w:val="20"/>
                <w:szCs w:val="20"/>
              </w:rPr>
            </w:pPr>
            <w:r>
              <w:rPr>
                <w:rFonts w:hint="eastAsia" w:ascii="宋体" w:hAnsi="宋体" w:cs="宋体"/>
                <w:color w:val="000000"/>
                <w:kern w:val="0"/>
                <w:sz w:val="20"/>
                <w:szCs w:val="20"/>
              </w:rPr>
              <w:t>按照正常比例赋分</w:t>
            </w:r>
          </w:p>
        </w:tc>
        <w:tc>
          <w:tcPr>
            <w:tcW w:w="691" w:type="dxa"/>
            <w:tcBorders>
              <w:top w:val="nil"/>
              <w:left w:val="nil"/>
              <w:bottom w:val="single" w:color="auto" w:sz="4" w:space="0"/>
              <w:right w:val="single" w:color="auto" w:sz="4" w:space="0"/>
            </w:tcBorders>
            <w:shd w:val="clear" w:color="auto" w:fill="auto"/>
            <w:vAlign w:val="center"/>
          </w:tcPr>
          <w:p w14:paraId="6DBA44D6">
            <w:pPr>
              <w:widowControl/>
              <w:jc w:val="left"/>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998" w:type="dxa"/>
            <w:tcBorders>
              <w:top w:val="nil"/>
              <w:left w:val="nil"/>
              <w:bottom w:val="single" w:color="auto" w:sz="4" w:space="0"/>
              <w:right w:val="single" w:color="auto" w:sz="4" w:space="0"/>
            </w:tcBorders>
            <w:shd w:val="clear" w:color="auto" w:fill="auto"/>
            <w:vAlign w:val="center"/>
          </w:tcPr>
          <w:p w14:paraId="0FD5EA54">
            <w:pPr>
              <w:widowControl/>
              <w:jc w:val="center"/>
              <w:rPr>
                <w:rFonts w:ascii="宋体" w:hAnsi="宋体" w:cs="宋体"/>
                <w:color w:val="000000"/>
                <w:kern w:val="0"/>
                <w:sz w:val="18"/>
                <w:szCs w:val="18"/>
              </w:rPr>
            </w:pPr>
            <w:r>
              <w:rPr>
                <w:rFonts w:hint="eastAsia" w:ascii="宋体" w:hAnsi="宋体" w:cs="宋体"/>
                <w:color w:val="000000"/>
                <w:kern w:val="0"/>
                <w:sz w:val="18"/>
                <w:szCs w:val="18"/>
              </w:rPr>
              <w:t>=1台</w:t>
            </w:r>
          </w:p>
        </w:tc>
        <w:tc>
          <w:tcPr>
            <w:tcW w:w="916" w:type="dxa"/>
            <w:tcBorders>
              <w:top w:val="nil"/>
              <w:left w:val="nil"/>
              <w:bottom w:val="single" w:color="auto" w:sz="4" w:space="0"/>
              <w:right w:val="single" w:color="auto" w:sz="4" w:space="0"/>
            </w:tcBorders>
            <w:shd w:val="clear" w:color="auto" w:fill="auto"/>
            <w:vAlign w:val="center"/>
          </w:tcPr>
          <w:p w14:paraId="39F51D5E">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2B6360F6">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1575" w:type="dxa"/>
            <w:tcBorders>
              <w:top w:val="nil"/>
              <w:left w:val="nil"/>
              <w:bottom w:val="single" w:color="auto" w:sz="4" w:space="0"/>
              <w:right w:val="single" w:color="auto" w:sz="4" w:space="0"/>
            </w:tcBorders>
            <w:shd w:val="clear" w:color="auto" w:fill="auto"/>
            <w:vAlign w:val="center"/>
          </w:tcPr>
          <w:p w14:paraId="3AA411FF">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14:paraId="5A39DDF2">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4D81412B">
            <w:pPr>
              <w:widowControl/>
              <w:jc w:val="left"/>
              <w:rPr>
                <w:rFonts w:ascii="宋体" w:hAnsi="宋体" w:cs="宋体"/>
                <w:color w:val="000000"/>
                <w:kern w:val="0"/>
                <w:sz w:val="20"/>
                <w:szCs w:val="20"/>
              </w:rPr>
            </w:pPr>
          </w:p>
        </w:tc>
        <w:tc>
          <w:tcPr>
            <w:tcW w:w="982" w:type="dxa"/>
            <w:vMerge w:val="continue"/>
            <w:tcBorders>
              <w:top w:val="nil"/>
              <w:left w:val="single" w:color="auto" w:sz="4" w:space="0"/>
              <w:bottom w:val="single" w:color="auto" w:sz="4" w:space="0"/>
              <w:right w:val="single" w:color="auto" w:sz="4" w:space="0"/>
            </w:tcBorders>
            <w:vAlign w:val="center"/>
          </w:tcPr>
          <w:p w14:paraId="63E2FC20">
            <w:pPr>
              <w:widowControl/>
              <w:jc w:val="left"/>
              <w:rPr>
                <w:rFonts w:ascii="宋体" w:hAnsi="宋体" w:cs="宋体"/>
                <w:color w:val="000000"/>
                <w:kern w:val="0"/>
                <w:sz w:val="20"/>
                <w:szCs w:val="20"/>
              </w:rPr>
            </w:pPr>
          </w:p>
        </w:tc>
        <w:tc>
          <w:tcPr>
            <w:tcW w:w="982" w:type="dxa"/>
            <w:tcBorders>
              <w:top w:val="nil"/>
              <w:left w:val="nil"/>
              <w:bottom w:val="single" w:color="auto" w:sz="4" w:space="0"/>
              <w:right w:val="single" w:color="auto" w:sz="4" w:space="0"/>
            </w:tcBorders>
            <w:shd w:val="clear" w:color="auto" w:fill="auto"/>
            <w:vAlign w:val="center"/>
          </w:tcPr>
          <w:p w14:paraId="7B9A73C4">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972" w:type="dxa"/>
            <w:tcBorders>
              <w:top w:val="nil"/>
              <w:left w:val="nil"/>
              <w:bottom w:val="single" w:color="auto" w:sz="4" w:space="0"/>
              <w:right w:val="single" w:color="auto" w:sz="4" w:space="0"/>
            </w:tcBorders>
            <w:shd w:val="clear" w:color="auto" w:fill="auto"/>
            <w:vAlign w:val="center"/>
          </w:tcPr>
          <w:p w14:paraId="52CF8CD2">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残疾人基本康复服务人数</w:t>
            </w:r>
          </w:p>
        </w:tc>
        <w:tc>
          <w:tcPr>
            <w:tcW w:w="995" w:type="dxa"/>
            <w:tcBorders>
              <w:top w:val="nil"/>
              <w:left w:val="nil"/>
              <w:bottom w:val="single" w:color="auto" w:sz="4" w:space="0"/>
              <w:right w:val="single" w:color="auto" w:sz="4" w:space="0"/>
            </w:tcBorders>
            <w:shd w:val="clear" w:color="auto" w:fill="auto"/>
            <w:vAlign w:val="center"/>
          </w:tcPr>
          <w:p w14:paraId="3512477C">
            <w:pPr>
              <w:widowControl/>
              <w:jc w:val="left"/>
              <w:rPr>
                <w:rFonts w:ascii="宋体" w:hAnsi="宋体" w:cs="宋体"/>
                <w:color w:val="000000"/>
                <w:kern w:val="0"/>
                <w:sz w:val="20"/>
                <w:szCs w:val="20"/>
              </w:rPr>
            </w:pPr>
            <w:r>
              <w:rPr>
                <w:rFonts w:hint="eastAsia" w:ascii="宋体" w:hAnsi="宋体" w:cs="宋体"/>
                <w:color w:val="000000"/>
                <w:kern w:val="0"/>
                <w:sz w:val="20"/>
                <w:szCs w:val="20"/>
              </w:rPr>
              <w:t>&gt;=51人</w:t>
            </w:r>
          </w:p>
        </w:tc>
        <w:tc>
          <w:tcPr>
            <w:tcW w:w="982" w:type="dxa"/>
            <w:tcBorders>
              <w:top w:val="nil"/>
              <w:left w:val="nil"/>
              <w:bottom w:val="single" w:color="auto" w:sz="4" w:space="0"/>
              <w:right w:val="single" w:color="auto" w:sz="4" w:space="0"/>
            </w:tcBorders>
            <w:shd w:val="clear" w:color="auto" w:fill="auto"/>
            <w:vAlign w:val="center"/>
          </w:tcPr>
          <w:p w14:paraId="495CD193">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52F45FDE">
            <w:pPr>
              <w:widowControl/>
              <w:jc w:val="left"/>
              <w:rPr>
                <w:rFonts w:ascii="宋体" w:hAnsi="宋体" w:cs="宋体"/>
                <w:color w:val="000000"/>
                <w:kern w:val="0"/>
                <w:sz w:val="20"/>
                <w:szCs w:val="20"/>
              </w:rPr>
            </w:pPr>
            <w:r>
              <w:rPr>
                <w:rFonts w:hint="eastAsia" w:ascii="宋体" w:hAnsi="宋体" w:cs="宋体"/>
                <w:color w:val="000000"/>
                <w:kern w:val="0"/>
                <w:sz w:val="20"/>
                <w:szCs w:val="20"/>
              </w:rPr>
              <w:t>-</w:t>
            </w:r>
          </w:p>
        </w:tc>
        <w:tc>
          <w:tcPr>
            <w:tcW w:w="749" w:type="dxa"/>
            <w:tcBorders>
              <w:top w:val="nil"/>
              <w:left w:val="nil"/>
              <w:bottom w:val="single" w:color="auto" w:sz="4" w:space="0"/>
              <w:right w:val="single" w:color="auto" w:sz="4" w:space="0"/>
            </w:tcBorders>
            <w:shd w:val="clear" w:color="auto" w:fill="auto"/>
            <w:vAlign w:val="center"/>
          </w:tcPr>
          <w:p w14:paraId="7DD9EB7A">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10" w:type="dxa"/>
            <w:tcBorders>
              <w:top w:val="nil"/>
              <w:left w:val="nil"/>
              <w:bottom w:val="single" w:color="auto" w:sz="4" w:space="0"/>
              <w:right w:val="single" w:color="auto" w:sz="4" w:space="0"/>
            </w:tcBorders>
            <w:shd w:val="clear" w:color="auto" w:fill="auto"/>
            <w:vAlign w:val="center"/>
          </w:tcPr>
          <w:p w14:paraId="49E3B409">
            <w:pPr>
              <w:widowControl/>
              <w:jc w:val="left"/>
              <w:rPr>
                <w:rFonts w:ascii="宋体" w:hAnsi="宋体" w:cs="宋体"/>
                <w:color w:val="000000"/>
                <w:kern w:val="0"/>
                <w:sz w:val="20"/>
                <w:szCs w:val="20"/>
              </w:rPr>
            </w:pPr>
            <w:r>
              <w:rPr>
                <w:rFonts w:hint="eastAsia" w:ascii="宋体" w:hAnsi="宋体" w:cs="宋体"/>
                <w:color w:val="000000"/>
                <w:kern w:val="0"/>
                <w:sz w:val="20"/>
                <w:szCs w:val="20"/>
              </w:rPr>
              <w:t>按照正常比例赋分</w:t>
            </w:r>
          </w:p>
        </w:tc>
        <w:tc>
          <w:tcPr>
            <w:tcW w:w="691" w:type="dxa"/>
            <w:tcBorders>
              <w:top w:val="nil"/>
              <w:left w:val="nil"/>
              <w:bottom w:val="single" w:color="auto" w:sz="4" w:space="0"/>
              <w:right w:val="single" w:color="auto" w:sz="4" w:space="0"/>
            </w:tcBorders>
            <w:shd w:val="clear" w:color="auto" w:fill="auto"/>
            <w:vAlign w:val="center"/>
          </w:tcPr>
          <w:p w14:paraId="37510794">
            <w:pPr>
              <w:widowControl/>
              <w:jc w:val="left"/>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998" w:type="dxa"/>
            <w:tcBorders>
              <w:top w:val="nil"/>
              <w:left w:val="nil"/>
              <w:bottom w:val="single" w:color="auto" w:sz="4" w:space="0"/>
              <w:right w:val="single" w:color="auto" w:sz="4" w:space="0"/>
            </w:tcBorders>
            <w:shd w:val="clear" w:color="auto" w:fill="auto"/>
            <w:vAlign w:val="center"/>
          </w:tcPr>
          <w:p w14:paraId="130D0FEF">
            <w:pPr>
              <w:widowControl/>
              <w:jc w:val="center"/>
              <w:rPr>
                <w:rFonts w:ascii="宋体" w:hAnsi="宋体" w:cs="宋体"/>
                <w:color w:val="000000"/>
                <w:kern w:val="0"/>
                <w:sz w:val="18"/>
                <w:szCs w:val="18"/>
              </w:rPr>
            </w:pPr>
            <w:r>
              <w:rPr>
                <w:rFonts w:hint="eastAsia" w:ascii="宋体" w:hAnsi="宋体" w:cs="宋体"/>
                <w:color w:val="000000"/>
                <w:kern w:val="0"/>
                <w:sz w:val="18"/>
                <w:szCs w:val="18"/>
              </w:rPr>
              <w:t>=51人</w:t>
            </w:r>
          </w:p>
        </w:tc>
        <w:tc>
          <w:tcPr>
            <w:tcW w:w="916" w:type="dxa"/>
            <w:tcBorders>
              <w:top w:val="nil"/>
              <w:left w:val="nil"/>
              <w:bottom w:val="single" w:color="auto" w:sz="4" w:space="0"/>
              <w:right w:val="single" w:color="auto" w:sz="4" w:space="0"/>
            </w:tcBorders>
            <w:shd w:val="clear" w:color="auto" w:fill="auto"/>
            <w:vAlign w:val="center"/>
          </w:tcPr>
          <w:p w14:paraId="4C108802">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54A73F08">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1575" w:type="dxa"/>
            <w:tcBorders>
              <w:top w:val="nil"/>
              <w:left w:val="nil"/>
              <w:bottom w:val="single" w:color="auto" w:sz="4" w:space="0"/>
              <w:right w:val="single" w:color="auto" w:sz="4" w:space="0"/>
            </w:tcBorders>
            <w:shd w:val="clear" w:color="auto" w:fill="auto"/>
            <w:vAlign w:val="center"/>
          </w:tcPr>
          <w:p w14:paraId="577B6709">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14:paraId="63B91437">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28591AA2">
            <w:pPr>
              <w:widowControl/>
              <w:jc w:val="left"/>
              <w:rPr>
                <w:rFonts w:ascii="宋体" w:hAnsi="宋体" w:cs="宋体"/>
                <w:color w:val="000000"/>
                <w:kern w:val="0"/>
                <w:sz w:val="20"/>
                <w:szCs w:val="20"/>
              </w:rPr>
            </w:pPr>
          </w:p>
        </w:tc>
        <w:tc>
          <w:tcPr>
            <w:tcW w:w="982" w:type="dxa"/>
            <w:vMerge w:val="continue"/>
            <w:tcBorders>
              <w:top w:val="nil"/>
              <w:left w:val="single" w:color="auto" w:sz="4" w:space="0"/>
              <w:bottom w:val="single" w:color="auto" w:sz="4" w:space="0"/>
              <w:right w:val="single" w:color="auto" w:sz="4" w:space="0"/>
            </w:tcBorders>
            <w:vAlign w:val="center"/>
          </w:tcPr>
          <w:p w14:paraId="21C1270B">
            <w:pPr>
              <w:widowControl/>
              <w:jc w:val="left"/>
              <w:rPr>
                <w:rFonts w:ascii="宋体" w:hAnsi="宋体" w:cs="宋体"/>
                <w:color w:val="000000"/>
                <w:kern w:val="0"/>
                <w:sz w:val="20"/>
                <w:szCs w:val="20"/>
              </w:rPr>
            </w:pPr>
          </w:p>
        </w:tc>
        <w:tc>
          <w:tcPr>
            <w:tcW w:w="982" w:type="dxa"/>
            <w:tcBorders>
              <w:top w:val="nil"/>
              <w:left w:val="nil"/>
              <w:bottom w:val="single" w:color="auto" w:sz="4" w:space="0"/>
              <w:right w:val="single" w:color="auto" w:sz="4" w:space="0"/>
            </w:tcBorders>
            <w:shd w:val="clear" w:color="auto" w:fill="auto"/>
            <w:vAlign w:val="center"/>
          </w:tcPr>
          <w:p w14:paraId="7F45B123">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972" w:type="dxa"/>
            <w:tcBorders>
              <w:top w:val="nil"/>
              <w:left w:val="nil"/>
              <w:bottom w:val="single" w:color="auto" w:sz="4" w:space="0"/>
              <w:right w:val="single" w:color="auto" w:sz="4" w:space="0"/>
            </w:tcBorders>
            <w:shd w:val="clear" w:color="auto" w:fill="auto"/>
            <w:vAlign w:val="center"/>
          </w:tcPr>
          <w:p w14:paraId="65C82421">
            <w:pPr>
              <w:widowControl/>
              <w:jc w:val="left"/>
              <w:rPr>
                <w:rFonts w:ascii="宋体" w:hAnsi="宋体" w:cs="宋体"/>
                <w:color w:val="000000"/>
                <w:kern w:val="0"/>
                <w:sz w:val="20"/>
                <w:szCs w:val="20"/>
              </w:rPr>
            </w:pPr>
            <w:r>
              <w:rPr>
                <w:rFonts w:hint="eastAsia" w:ascii="宋体" w:hAnsi="宋体" w:cs="宋体"/>
                <w:color w:val="000000"/>
                <w:kern w:val="0"/>
                <w:sz w:val="20"/>
                <w:szCs w:val="20"/>
              </w:rPr>
              <w:t>残疾儿童康复救助人数</w:t>
            </w:r>
          </w:p>
        </w:tc>
        <w:tc>
          <w:tcPr>
            <w:tcW w:w="995" w:type="dxa"/>
            <w:tcBorders>
              <w:top w:val="nil"/>
              <w:left w:val="nil"/>
              <w:bottom w:val="single" w:color="auto" w:sz="4" w:space="0"/>
              <w:right w:val="single" w:color="auto" w:sz="4" w:space="0"/>
            </w:tcBorders>
            <w:shd w:val="clear" w:color="auto" w:fill="auto"/>
            <w:vAlign w:val="center"/>
          </w:tcPr>
          <w:p w14:paraId="19A3C52D">
            <w:pPr>
              <w:widowControl/>
              <w:jc w:val="left"/>
              <w:rPr>
                <w:rFonts w:ascii="宋体" w:hAnsi="宋体" w:cs="宋体"/>
                <w:color w:val="000000"/>
                <w:kern w:val="0"/>
                <w:sz w:val="20"/>
                <w:szCs w:val="20"/>
              </w:rPr>
            </w:pPr>
            <w:r>
              <w:rPr>
                <w:rFonts w:hint="eastAsia" w:ascii="宋体" w:hAnsi="宋体" w:cs="宋体"/>
                <w:color w:val="000000"/>
                <w:kern w:val="0"/>
                <w:sz w:val="20"/>
                <w:szCs w:val="20"/>
              </w:rPr>
              <w:t>&gt;=4人</w:t>
            </w:r>
          </w:p>
        </w:tc>
        <w:tc>
          <w:tcPr>
            <w:tcW w:w="982" w:type="dxa"/>
            <w:tcBorders>
              <w:top w:val="nil"/>
              <w:left w:val="nil"/>
              <w:bottom w:val="single" w:color="auto" w:sz="4" w:space="0"/>
              <w:right w:val="single" w:color="auto" w:sz="4" w:space="0"/>
            </w:tcBorders>
            <w:shd w:val="clear" w:color="auto" w:fill="auto"/>
            <w:vAlign w:val="center"/>
          </w:tcPr>
          <w:p w14:paraId="2AB6875C">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4C45F664">
            <w:pPr>
              <w:widowControl/>
              <w:jc w:val="left"/>
              <w:rPr>
                <w:rFonts w:ascii="宋体" w:hAnsi="宋体" w:cs="宋体"/>
                <w:color w:val="000000"/>
                <w:kern w:val="0"/>
                <w:sz w:val="20"/>
                <w:szCs w:val="20"/>
              </w:rPr>
            </w:pPr>
            <w:r>
              <w:rPr>
                <w:rFonts w:hint="eastAsia" w:ascii="宋体" w:hAnsi="宋体" w:cs="宋体"/>
                <w:color w:val="000000"/>
                <w:kern w:val="0"/>
                <w:sz w:val="20"/>
                <w:szCs w:val="20"/>
              </w:rPr>
              <w:t>-</w:t>
            </w:r>
          </w:p>
        </w:tc>
        <w:tc>
          <w:tcPr>
            <w:tcW w:w="749" w:type="dxa"/>
            <w:tcBorders>
              <w:top w:val="nil"/>
              <w:left w:val="nil"/>
              <w:bottom w:val="single" w:color="auto" w:sz="4" w:space="0"/>
              <w:right w:val="single" w:color="auto" w:sz="4" w:space="0"/>
            </w:tcBorders>
            <w:shd w:val="clear" w:color="auto" w:fill="auto"/>
            <w:vAlign w:val="center"/>
          </w:tcPr>
          <w:p w14:paraId="16F6EC36">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10" w:type="dxa"/>
            <w:tcBorders>
              <w:top w:val="nil"/>
              <w:left w:val="nil"/>
              <w:bottom w:val="single" w:color="auto" w:sz="4" w:space="0"/>
              <w:right w:val="single" w:color="auto" w:sz="4" w:space="0"/>
            </w:tcBorders>
            <w:shd w:val="clear" w:color="auto" w:fill="auto"/>
            <w:vAlign w:val="center"/>
          </w:tcPr>
          <w:p w14:paraId="6BEB3F4C">
            <w:pPr>
              <w:widowControl/>
              <w:jc w:val="left"/>
              <w:rPr>
                <w:rFonts w:ascii="宋体" w:hAnsi="宋体" w:cs="宋体"/>
                <w:color w:val="000000"/>
                <w:kern w:val="0"/>
                <w:sz w:val="20"/>
                <w:szCs w:val="20"/>
              </w:rPr>
            </w:pPr>
            <w:r>
              <w:rPr>
                <w:rFonts w:hint="eastAsia" w:ascii="宋体" w:hAnsi="宋体" w:cs="宋体"/>
                <w:color w:val="000000"/>
                <w:kern w:val="0"/>
                <w:sz w:val="20"/>
                <w:szCs w:val="20"/>
              </w:rPr>
              <w:t>按照正常比例赋分</w:t>
            </w:r>
          </w:p>
        </w:tc>
        <w:tc>
          <w:tcPr>
            <w:tcW w:w="691" w:type="dxa"/>
            <w:tcBorders>
              <w:top w:val="nil"/>
              <w:left w:val="nil"/>
              <w:bottom w:val="single" w:color="auto" w:sz="4" w:space="0"/>
              <w:right w:val="single" w:color="auto" w:sz="4" w:space="0"/>
            </w:tcBorders>
            <w:shd w:val="clear" w:color="auto" w:fill="auto"/>
            <w:vAlign w:val="center"/>
          </w:tcPr>
          <w:p w14:paraId="124AAE04">
            <w:pPr>
              <w:widowControl/>
              <w:jc w:val="left"/>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998" w:type="dxa"/>
            <w:tcBorders>
              <w:top w:val="nil"/>
              <w:left w:val="nil"/>
              <w:bottom w:val="single" w:color="auto" w:sz="4" w:space="0"/>
              <w:right w:val="single" w:color="auto" w:sz="4" w:space="0"/>
            </w:tcBorders>
            <w:shd w:val="clear" w:color="auto" w:fill="auto"/>
            <w:vAlign w:val="center"/>
          </w:tcPr>
          <w:p w14:paraId="782A522B">
            <w:pPr>
              <w:widowControl/>
              <w:jc w:val="center"/>
              <w:rPr>
                <w:rFonts w:ascii="宋体" w:hAnsi="宋体" w:cs="宋体"/>
                <w:color w:val="000000"/>
                <w:kern w:val="0"/>
                <w:sz w:val="18"/>
                <w:szCs w:val="18"/>
              </w:rPr>
            </w:pPr>
            <w:r>
              <w:rPr>
                <w:rFonts w:hint="eastAsia" w:ascii="宋体" w:hAnsi="宋体" w:cs="宋体"/>
                <w:color w:val="000000"/>
                <w:kern w:val="0"/>
                <w:sz w:val="18"/>
                <w:szCs w:val="18"/>
              </w:rPr>
              <w:t>=4人</w:t>
            </w:r>
          </w:p>
        </w:tc>
        <w:tc>
          <w:tcPr>
            <w:tcW w:w="916" w:type="dxa"/>
            <w:tcBorders>
              <w:top w:val="nil"/>
              <w:left w:val="nil"/>
              <w:bottom w:val="single" w:color="auto" w:sz="4" w:space="0"/>
              <w:right w:val="single" w:color="auto" w:sz="4" w:space="0"/>
            </w:tcBorders>
            <w:shd w:val="clear" w:color="auto" w:fill="auto"/>
            <w:vAlign w:val="center"/>
          </w:tcPr>
          <w:p w14:paraId="46A10592">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08493D8F">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1575" w:type="dxa"/>
            <w:tcBorders>
              <w:top w:val="nil"/>
              <w:left w:val="nil"/>
              <w:bottom w:val="single" w:color="auto" w:sz="4" w:space="0"/>
              <w:right w:val="single" w:color="auto" w:sz="4" w:space="0"/>
            </w:tcBorders>
            <w:shd w:val="clear" w:color="auto" w:fill="auto"/>
            <w:vAlign w:val="center"/>
          </w:tcPr>
          <w:p w14:paraId="529FC6FA">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14:paraId="24CF19E0">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2C5A8A18">
            <w:pPr>
              <w:widowControl/>
              <w:jc w:val="left"/>
              <w:rPr>
                <w:rFonts w:ascii="宋体" w:hAnsi="宋体" w:cs="宋体"/>
                <w:color w:val="000000"/>
                <w:kern w:val="0"/>
                <w:sz w:val="20"/>
                <w:szCs w:val="20"/>
              </w:rPr>
            </w:pPr>
          </w:p>
        </w:tc>
        <w:tc>
          <w:tcPr>
            <w:tcW w:w="982" w:type="dxa"/>
            <w:vMerge w:val="continue"/>
            <w:tcBorders>
              <w:top w:val="nil"/>
              <w:left w:val="single" w:color="auto" w:sz="4" w:space="0"/>
              <w:bottom w:val="single" w:color="auto" w:sz="4" w:space="0"/>
              <w:right w:val="single" w:color="auto" w:sz="4" w:space="0"/>
            </w:tcBorders>
            <w:vAlign w:val="center"/>
          </w:tcPr>
          <w:p w14:paraId="238DF246">
            <w:pPr>
              <w:widowControl/>
              <w:jc w:val="left"/>
              <w:rPr>
                <w:rFonts w:ascii="宋体" w:hAnsi="宋体" w:cs="宋体"/>
                <w:color w:val="000000"/>
                <w:kern w:val="0"/>
                <w:sz w:val="20"/>
                <w:szCs w:val="20"/>
              </w:rPr>
            </w:pPr>
          </w:p>
        </w:tc>
        <w:tc>
          <w:tcPr>
            <w:tcW w:w="982" w:type="dxa"/>
            <w:tcBorders>
              <w:top w:val="nil"/>
              <w:left w:val="nil"/>
              <w:bottom w:val="single" w:color="auto" w:sz="4" w:space="0"/>
              <w:right w:val="single" w:color="auto" w:sz="4" w:space="0"/>
            </w:tcBorders>
            <w:shd w:val="clear" w:color="auto" w:fill="auto"/>
            <w:vAlign w:val="center"/>
          </w:tcPr>
          <w:p w14:paraId="4FEFB03F">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972" w:type="dxa"/>
            <w:tcBorders>
              <w:top w:val="nil"/>
              <w:left w:val="nil"/>
              <w:bottom w:val="single" w:color="auto" w:sz="4" w:space="0"/>
              <w:right w:val="single" w:color="auto" w:sz="4" w:space="0"/>
            </w:tcBorders>
            <w:shd w:val="clear" w:color="auto" w:fill="auto"/>
            <w:vAlign w:val="center"/>
          </w:tcPr>
          <w:p w14:paraId="15DBB685">
            <w:pPr>
              <w:widowControl/>
              <w:jc w:val="left"/>
              <w:rPr>
                <w:rFonts w:ascii="宋体" w:hAnsi="宋体" w:cs="宋体"/>
                <w:color w:val="000000"/>
                <w:kern w:val="0"/>
                <w:sz w:val="20"/>
                <w:szCs w:val="20"/>
              </w:rPr>
            </w:pPr>
            <w:r>
              <w:rPr>
                <w:rFonts w:hint="eastAsia" w:ascii="宋体" w:hAnsi="宋体" w:cs="宋体"/>
                <w:color w:val="000000"/>
                <w:kern w:val="0"/>
                <w:sz w:val="20"/>
                <w:szCs w:val="20"/>
              </w:rPr>
              <w:t>困难重度残疾人家庭无障碍改造户数</w:t>
            </w:r>
          </w:p>
        </w:tc>
        <w:tc>
          <w:tcPr>
            <w:tcW w:w="995" w:type="dxa"/>
            <w:tcBorders>
              <w:top w:val="nil"/>
              <w:left w:val="nil"/>
              <w:bottom w:val="single" w:color="auto" w:sz="4" w:space="0"/>
              <w:right w:val="single" w:color="auto" w:sz="4" w:space="0"/>
            </w:tcBorders>
            <w:shd w:val="clear" w:color="auto" w:fill="auto"/>
            <w:vAlign w:val="center"/>
          </w:tcPr>
          <w:p w14:paraId="7CACAC43">
            <w:pPr>
              <w:widowControl/>
              <w:jc w:val="left"/>
              <w:rPr>
                <w:rFonts w:ascii="宋体" w:hAnsi="宋体" w:cs="宋体"/>
                <w:color w:val="000000"/>
                <w:kern w:val="0"/>
                <w:sz w:val="20"/>
                <w:szCs w:val="20"/>
              </w:rPr>
            </w:pPr>
            <w:r>
              <w:rPr>
                <w:rFonts w:hint="eastAsia" w:ascii="宋体" w:hAnsi="宋体" w:cs="宋体"/>
                <w:color w:val="000000"/>
                <w:kern w:val="0"/>
                <w:sz w:val="20"/>
                <w:szCs w:val="20"/>
              </w:rPr>
              <w:t>&gt;=10户</w:t>
            </w:r>
          </w:p>
        </w:tc>
        <w:tc>
          <w:tcPr>
            <w:tcW w:w="982" w:type="dxa"/>
            <w:tcBorders>
              <w:top w:val="nil"/>
              <w:left w:val="nil"/>
              <w:bottom w:val="single" w:color="auto" w:sz="4" w:space="0"/>
              <w:right w:val="single" w:color="auto" w:sz="4" w:space="0"/>
            </w:tcBorders>
            <w:shd w:val="clear" w:color="auto" w:fill="auto"/>
            <w:vAlign w:val="center"/>
          </w:tcPr>
          <w:p w14:paraId="5E2F811A">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6514E047">
            <w:pPr>
              <w:widowControl/>
              <w:jc w:val="left"/>
              <w:rPr>
                <w:rFonts w:ascii="宋体" w:hAnsi="宋体" w:cs="宋体"/>
                <w:color w:val="000000"/>
                <w:kern w:val="0"/>
                <w:sz w:val="20"/>
                <w:szCs w:val="20"/>
              </w:rPr>
            </w:pPr>
            <w:r>
              <w:rPr>
                <w:rFonts w:hint="eastAsia" w:ascii="宋体" w:hAnsi="宋体" w:cs="宋体"/>
                <w:color w:val="000000"/>
                <w:kern w:val="0"/>
                <w:sz w:val="20"/>
                <w:szCs w:val="20"/>
              </w:rPr>
              <w:t>-</w:t>
            </w:r>
          </w:p>
        </w:tc>
        <w:tc>
          <w:tcPr>
            <w:tcW w:w="749" w:type="dxa"/>
            <w:tcBorders>
              <w:top w:val="nil"/>
              <w:left w:val="nil"/>
              <w:bottom w:val="single" w:color="auto" w:sz="4" w:space="0"/>
              <w:right w:val="single" w:color="auto" w:sz="4" w:space="0"/>
            </w:tcBorders>
            <w:shd w:val="clear" w:color="auto" w:fill="auto"/>
            <w:vAlign w:val="center"/>
          </w:tcPr>
          <w:p w14:paraId="31A9E44B">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10" w:type="dxa"/>
            <w:tcBorders>
              <w:top w:val="nil"/>
              <w:left w:val="nil"/>
              <w:bottom w:val="single" w:color="auto" w:sz="4" w:space="0"/>
              <w:right w:val="single" w:color="auto" w:sz="4" w:space="0"/>
            </w:tcBorders>
            <w:shd w:val="clear" w:color="auto" w:fill="auto"/>
            <w:vAlign w:val="center"/>
          </w:tcPr>
          <w:p w14:paraId="2947B219">
            <w:pPr>
              <w:widowControl/>
              <w:jc w:val="left"/>
              <w:rPr>
                <w:rFonts w:ascii="宋体" w:hAnsi="宋体" w:cs="宋体"/>
                <w:color w:val="000000"/>
                <w:kern w:val="0"/>
                <w:sz w:val="20"/>
                <w:szCs w:val="20"/>
              </w:rPr>
            </w:pPr>
            <w:r>
              <w:rPr>
                <w:rFonts w:hint="eastAsia" w:ascii="宋体" w:hAnsi="宋体" w:cs="宋体"/>
                <w:color w:val="000000"/>
                <w:kern w:val="0"/>
                <w:sz w:val="20"/>
                <w:szCs w:val="20"/>
              </w:rPr>
              <w:t>按照正常比例赋分</w:t>
            </w:r>
          </w:p>
        </w:tc>
        <w:tc>
          <w:tcPr>
            <w:tcW w:w="691" w:type="dxa"/>
            <w:tcBorders>
              <w:top w:val="nil"/>
              <w:left w:val="nil"/>
              <w:bottom w:val="single" w:color="auto" w:sz="4" w:space="0"/>
              <w:right w:val="single" w:color="auto" w:sz="4" w:space="0"/>
            </w:tcBorders>
            <w:shd w:val="clear" w:color="auto" w:fill="auto"/>
            <w:vAlign w:val="center"/>
          </w:tcPr>
          <w:p w14:paraId="5B088084">
            <w:pPr>
              <w:widowControl/>
              <w:jc w:val="left"/>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998" w:type="dxa"/>
            <w:tcBorders>
              <w:top w:val="nil"/>
              <w:left w:val="nil"/>
              <w:bottom w:val="single" w:color="auto" w:sz="4" w:space="0"/>
              <w:right w:val="single" w:color="auto" w:sz="4" w:space="0"/>
            </w:tcBorders>
            <w:shd w:val="clear" w:color="auto" w:fill="auto"/>
            <w:vAlign w:val="center"/>
          </w:tcPr>
          <w:p w14:paraId="6D76D8DC">
            <w:pPr>
              <w:widowControl/>
              <w:jc w:val="center"/>
              <w:rPr>
                <w:rFonts w:ascii="宋体" w:hAnsi="宋体" w:cs="宋体"/>
                <w:color w:val="000000"/>
                <w:kern w:val="0"/>
                <w:sz w:val="18"/>
                <w:szCs w:val="18"/>
              </w:rPr>
            </w:pPr>
            <w:r>
              <w:rPr>
                <w:rFonts w:hint="eastAsia" w:ascii="宋体" w:hAnsi="宋体" w:cs="宋体"/>
                <w:color w:val="000000"/>
                <w:kern w:val="0"/>
                <w:sz w:val="18"/>
                <w:szCs w:val="18"/>
              </w:rPr>
              <w:t>=10户</w:t>
            </w:r>
          </w:p>
        </w:tc>
        <w:tc>
          <w:tcPr>
            <w:tcW w:w="916" w:type="dxa"/>
            <w:tcBorders>
              <w:top w:val="nil"/>
              <w:left w:val="nil"/>
              <w:bottom w:val="single" w:color="auto" w:sz="4" w:space="0"/>
              <w:right w:val="single" w:color="auto" w:sz="4" w:space="0"/>
            </w:tcBorders>
            <w:shd w:val="clear" w:color="auto" w:fill="auto"/>
            <w:vAlign w:val="center"/>
          </w:tcPr>
          <w:p w14:paraId="49AED339">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6D1CB1CF">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1575" w:type="dxa"/>
            <w:tcBorders>
              <w:top w:val="nil"/>
              <w:left w:val="nil"/>
              <w:bottom w:val="single" w:color="auto" w:sz="4" w:space="0"/>
              <w:right w:val="single" w:color="auto" w:sz="4" w:space="0"/>
            </w:tcBorders>
            <w:shd w:val="clear" w:color="auto" w:fill="auto"/>
            <w:vAlign w:val="center"/>
          </w:tcPr>
          <w:p w14:paraId="532B84D6">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14:paraId="75BE8700">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352387E7">
            <w:pPr>
              <w:widowControl/>
              <w:jc w:val="left"/>
              <w:rPr>
                <w:rFonts w:ascii="宋体" w:hAnsi="宋体" w:cs="宋体"/>
                <w:color w:val="000000"/>
                <w:kern w:val="0"/>
                <w:sz w:val="20"/>
                <w:szCs w:val="20"/>
              </w:rPr>
            </w:pPr>
          </w:p>
        </w:tc>
        <w:tc>
          <w:tcPr>
            <w:tcW w:w="982" w:type="dxa"/>
            <w:vMerge w:val="continue"/>
            <w:tcBorders>
              <w:top w:val="nil"/>
              <w:left w:val="single" w:color="auto" w:sz="4" w:space="0"/>
              <w:bottom w:val="single" w:color="auto" w:sz="4" w:space="0"/>
              <w:right w:val="single" w:color="auto" w:sz="4" w:space="0"/>
            </w:tcBorders>
            <w:vAlign w:val="center"/>
          </w:tcPr>
          <w:p w14:paraId="148CF6D6">
            <w:pPr>
              <w:widowControl/>
              <w:jc w:val="left"/>
              <w:rPr>
                <w:rFonts w:ascii="宋体" w:hAnsi="宋体" w:cs="宋体"/>
                <w:color w:val="000000"/>
                <w:kern w:val="0"/>
                <w:sz w:val="20"/>
                <w:szCs w:val="20"/>
              </w:rPr>
            </w:pPr>
          </w:p>
        </w:tc>
        <w:tc>
          <w:tcPr>
            <w:tcW w:w="982" w:type="dxa"/>
            <w:tcBorders>
              <w:top w:val="nil"/>
              <w:left w:val="nil"/>
              <w:bottom w:val="single" w:color="auto" w:sz="4" w:space="0"/>
              <w:right w:val="single" w:color="auto" w:sz="4" w:space="0"/>
            </w:tcBorders>
            <w:shd w:val="clear" w:color="auto" w:fill="auto"/>
            <w:vAlign w:val="center"/>
          </w:tcPr>
          <w:p w14:paraId="000E58D1">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972" w:type="dxa"/>
            <w:tcBorders>
              <w:top w:val="nil"/>
              <w:left w:val="nil"/>
              <w:bottom w:val="single" w:color="auto" w:sz="4" w:space="0"/>
              <w:right w:val="single" w:color="auto" w:sz="4" w:space="0"/>
            </w:tcBorders>
            <w:shd w:val="clear" w:color="auto" w:fill="auto"/>
            <w:vAlign w:val="center"/>
          </w:tcPr>
          <w:p w14:paraId="4CE56E45">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残疾人事业发展补助资金保障率</w:t>
            </w:r>
          </w:p>
        </w:tc>
        <w:tc>
          <w:tcPr>
            <w:tcW w:w="995" w:type="dxa"/>
            <w:tcBorders>
              <w:top w:val="nil"/>
              <w:left w:val="nil"/>
              <w:bottom w:val="single" w:color="auto" w:sz="4" w:space="0"/>
              <w:right w:val="single" w:color="auto" w:sz="4" w:space="0"/>
            </w:tcBorders>
            <w:shd w:val="clear" w:color="auto" w:fill="auto"/>
            <w:vAlign w:val="center"/>
          </w:tcPr>
          <w:p w14:paraId="1D6C2E08">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982" w:type="dxa"/>
            <w:tcBorders>
              <w:top w:val="nil"/>
              <w:left w:val="nil"/>
              <w:bottom w:val="single" w:color="auto" w:sz="4" w:space="0"/>
              <w:right w:val="single" w:color="auto" w:sz="4" w:space="0"/>
            </w:tcBorders>
            <w:shd w:val="clear" w:color="auto" w:fill="auto"/>
            <w:vAlign w:val="center"/>
          </w:tcPr>
          <w:p w14:paraId="652BED96">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3FDAE735">
            <w:pPr>
              <w:widowControl/>
              <w:jc w:val="left"/>
              <w:rPr>
                <w:rFonts w:ascii="宋体" w:hAnsi="宋体" w:cs="宋体"/>
                <w:color w:val="000000"/>
                <w:kern w:val="0"/>
                <w:sz w:val="20"/>
                <w:szCs w:val="20"/>
              </w:rPr>
            </w:pPr>
            <w:r>
              <w:rPr>
                <w:rFonts w:hint="eastAsia" w:ascii="宋体" w:hAnsi="宋体" w:cs="宋体"/>
                <w:color w:val="000000"/>
                <w:kern w:val="0"/>
                <w:sz w:val="20"/>
                <w:szCs w:val="20"/>
              </w:rPr>
              <w:t>90%</w:t>
            </w:r>
          </w:p>
        </w:tc>
        <w:tc>
          <w:tcPr>
            <w:tcW w:w="749" w:type="dxa"/>
            <w:tcBorders>
              <w:top w:val="nil"/>
              <w:left w:val="nil"/>
              <w:bottom w:val="single" w:color="auto" w:sz="4" w:space="0"/>
              <w:right w:val="single" w:color="auto" w:sz="4" w:space="0"/>
            </w:tcBorders>
            <w:shd w:val="clear" w:color="auto" w:fill="auto"/>
            <w:vAlign w:val="center"/>
          </w:tcPr>
          <w:p w14:paraId="228A5B0F">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10" w:type="dxa"/>
            <w:tcBorders>
              <w:top w:val="nil"/>
              <w:left w:val="nil"/>
              <w:bottom w:val="single" w:color="auto" w:sz="4" w:space="0"/>
              <w:right w:val="single" w:color="auto" w:sz="4" w:space="0"/>
            </w:tcBorders>
            <w:shd w:val="clear" w:color="auto" w:fill="auto"/>
            <w:vAlign w:val="center"/>
          </w:tcPr>
          <w:p w14:paraId="7B247B47">
            <w:pPr>
              <w:widowControl/>
              <w:jc w:val="left"/>
              <w:rPr>
                <w:rFonts w:ascii="宋体" w:hAnsi="宋体" w:cs="宋体"/>
                <w:color w:val="000000"/>
                <w:kern w:val="0"/>
                <w:sz w:val="20"/>
                <w:szCs w:val="20"/>
              </w:rPr>
            </w:pPr>
            <w:r>
              <w:rPr>
                <w:rFonts w:hint="eastAsia" w:ascii="宋体" w:hAnsi="宋体" w:cs="宋体"/>
                <w:color w:val="000000"/>
                <w:kern w:val="0"/>
                <w:sz w:val="20"/>
                <w:szCs w:val="20"/>
              </w:rPr>
              <w:t>按照正常比例赋分</w:t>
            </w:r>
          </w:p>
        </w:tc>
        <w:tc>
          <w:tcPr>
            <w:tcW w:w="691" w:type="dxa"/>
            <w:tcBorders>
              <w:top w:val="nil"/>
              <w:left w:val="nil"/>
              <w:bottom w:val="single" w:color="auto" w:sz="4" w:space="0"/>
              <w:right w:val="single" w:color="auto" w:sz="4" w:space="0"/>
            </w:tcBorders>
            <w:shd w:val="clear" w:color="auto" w:fill="auto"/>
            <w:vAlign w:val="center"/>
          </w:tcPr>
          <w:p w14:paraId="53B0853B">
            <w:pPr>
              <w:widowControl/>
              <w:jc w:val="left"/>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998" w:type="dxa"/>
            <w:tcBorders>
              <w:top w:val="nil"/>
              <w:left w:val="nil"/>
              <w:bottom w:val="single" w:color="auto" w:sz="4" w:space="0"/>
              <w:right w:val="single" w:color="auto" w:sz="4" w:space="0"/>
            </w:tcBorders>
            <w:shd w:val="clear" w:color="auto" w:fill="auto"/>
            <w:vAlign w:val="center"/>
          </w:tcPr>
          <w:p w14:paraId="3D2A541C">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16" w:type="dxa"/>
            <w:tcBorders>
              <w:top w:val="nil"/>
              <w:left w:val="nil"/>
              <w:bottom w:val="single" w:color="auto" w:sz="4" w:space="0"/>
              <w:right w:val="single" w:color="auto" w:sz="4" w:space="0"/>
            </w:tcBorders>
            <w:shd w:val="clear" w:color="auto" w:fill="auto"/>
            <w:vAlign w:val="center"/>
          </w:tcPr>
          <w:p w14:paraId="38989DFD">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167816F0">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575" w:type="dxa"/>
            <w:tcBorders>
              <w:top w:val="nil"/>
              <w:left w:val="nil"/>
              <w:bottom w:val="single" w:color="auto" w:sz="4" w:space="0"/>
              <w:right w:val="single" w:color="auto" w:sz="4" w:space="0"/>
            </w:tcBorders>
            <w:shd w:val="clear" w:color="auto" w:fill="auto"/>
            <w:vAlign w:val="center"/>
          </w:tcPr>
          <w:p w14:paraId="68FB867C">
            <w:pPr>
              <w:widowControl/>
              <w:jc w:val="center"/>
              <w:rPr>
                <w:rFonts w:ascii="宋体" w:hAnsi="宋体" w:cs="宋体"/>
                <w:color w:val="000000"/>
                <w:kern w:val="0"/>
                <w:sz w:val="18"/>
                <w:szCs w:val="18"/>
              </w:rPr>
            </w:pPr>
          </w:p>
        </w:tc>
      </w:tr>
      <w:tr w14:paraId="5410019C">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729A08A0">
            <w:pPr>
              <w:widowControl/>
              <w:jc w:val="left"/>
              <w:rPr>
                <w:rFonts w:ascii="宋体" w:hAnsi="宋体" w:cs="宋体"/>
                <w:color w:val="000000"/>
                <w:kern w:val="0"/>
                <w:sz w:val="20"/>
                <w:szCs w:val="20"/>
              </w:rPr>
            </w:pPr>
          </w:p>
        </w:tc>
        <w:tc>
          <w:tcPr>
            <w:tcW w:w="982" w:type="dxa"/>
            <w:vMerge w:val="continue"/>
            <w:tcBorders>
              <w:top w:val="nil"/>
              <w:left w:val="single" w:color="auto" w:sz="4" w:space="0"/>
              <w:bottom w:val="single" w:color="auto" w:sz="4" w:space="0"/>
              <w:right w:val="single" w:color="auto" w:sz="4" w:space="0"/>
            </w:tcBorders>
            <w:vAlign w:val="center"/>
          </w:tcPr>
          <w:p w14:paraId="7269FBFC">
            <w:pPr>
              <w:widowControl/>
              <w:jc w:val="left"/>
              <w:rPr>
                <w:rFonts w:ascii="宋体" w:hAnsi="宋体" w:cs="宋体"/>
                <w:color w:val="000000"/>
                <w:kern w:val="0"/>
                <w:sz w:val="20"/>
                <w:szCs w:val="20"/>
              </w:rPr>
            </w:pPr>
          </w:p>
        </w:tc>
        <w:tc>
          <w:tcPr>
            <w:tcW w:w="982" w:type="dxa"/>
            <w:tcBorders>
              <w:top w:val="nil"/>
              <w:left w:val="nil"/>
              <w:bottom w:val="single" w:color="auto" w:sz="4" w:space="0"/>
              <w:right w:val="single" w:color="auto" w:sz="4" w:space="0"/>
            </w:tcBorders>
            <w:shd w:val="clear" w:color="auto" w:fill="auto"/>
            <w:vAlign w:val="center"/>
          </w:tcPr>
          <w:p w14:paraId="346F9AE8">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972" w:type="dxa"/>
            <w:tcBorders>
              <w:top w:val="nil"/>
              <w:left w:val="nil"/>
              <w:bottom w:val="single" w:color="auto" w:sz="4" w:space="0"/>
              <w:right w:val="single" w:color="auto" w:sz="4" w:space="0"/>
            </w:tcBorders>
            <w:shd w:val="clear" w:color="auto" w:fill="auto"/>
            <w:vAlign w:val="center"/>
          </w:tcPr>
          <w:p w14:paraId="0702AE1C">
            <w:pPr>
              <w:widowControl/>
              <w:jc w:val="left"/>
              <w:rPr>
                <w:rFonts w:ascii="宋体" w:hAnsi="宋体" w:cs="宋体"/>
                <w:color w:val="000000"/>
                <w:kern w:val="0"/>
                <w:sz w:val="20"/>
                <w:szCs w:val="20"/>
              </w:rPr>
            </w:pPr>
            <w:r>
              <w:rPr>
                <w:rFonts w:hint="eastAsia" w:ascii="宋体" w:hAnsi="宋体" w:cs="宋体"/>
                <w:color w:val="000000"/>
                <w:kern w:val="0"/>
                <w:sz w:val="20"/>
                <w:szCs w:val="20"/>
              </w:rPr>
              <w:t>设备验收合格率</w:t>
            </w:r>
          </w:p>
        </w:tc>
        <w:tc>
          <w:tcPr>
            <w:tcW w:w="995" w:type="dxa"/>
            <w:tcBorders>
              <w:top w:val="nil"/>
              <w:left w:val="nil"/>
              <w:bottom w:val="single" w:color="auto" w:sz="4" w:space="0"/>
              <w:right w:val="single" w:color="auto" w:sz="4" w:space="0"/>
            </w:tcBorders>
            <w:shd w:val="clear" w:color="auto" w:fill="auto"/>
            <w:vAlign w:val="center"/>
          </w:tcPr>
          <w:p w14:paraId="235D239C">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982" w:type="dxa"/>
            <w:tcBorders>
              <w:top w:val="nil"/>
              <w:left w:val="nil"/>
              <w:bottom w:val="single" w:color="auto" w:sz="4" w:space="0"/>
              <w:right w:val="single" w:color="auto" w:sz="4" w:space="0"/>
            </w:tcBorders>
            <w:shd w:val="clear" w:color="auto" w:fill="auto"/>
            <w:vAlign w:val="center"/>
          </w:tcPr>
          <w:p w14:paraId="76BD4A2D">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1A65B1D0">
            <w:pPr>
              <w:widowControl/>
              <w:jc w:val="left"/>
              <w:rPr>
                <w:rFonts w:ascii="宋体" w:hAnsi="宋体" w:cs="宋体"/>
                <w:color w:val="000000"/>
                <w:kern w:val="0"/>
                <w:sz w:val="20"/>
                <w:szCs w:val="20"/>
              </w:rPr>
            </w:pPr>
            <w:r>
              <w:rPr>
                <w:rFonts w:hint="eastAsia" w:ascii="宋体" w:hAnsi="宋体" w:cs="宋体"/>
                <w:color w:val="000000"/>
                <w:kern w:val="0"/>
                <w:sz w:val="20"/>
                <w:szCs w:val="20"/>
              </w:rPr>
              <w:t>-</w:t>
            </w:r>
          </w:p>
        </w:tc>
        <w:tc>
          <w:tcPr>
            <w:tcW w:w="749" w:type="dxa"/>
            <w:tcBorders>
              <w:top w:val="nil"/>
              <w:left w:val="nil"/>
              <w:bottom w:val="single" w:color="auto" w:sz="4" w:space="0"/>
              <w:right w:val="single" w:color="auto" w:sz="4" w:space="0"/>
            </w:tcBorders>
            <w:shd w:val="clear" w:color="auto" w:fill="auto"/>
            <w:vAlign w:val="center"/>
          </w:tcPr>
          <w:p w14:paraId="19651F69">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10" w:type="dxa"/>
            <w:tcBorders>
              <w:top w:val="nil"/>
              <w:left w:val="nil"/>
              <w:bottom w:val="single" w:color="auto" w:sz="4" w:space="0"/>
              <w:right w:val="single" w:color="auto" w:sz="4" w:space="0"/>
            </w:tcBorders>
            <w:shd w:val="clear" w:color="auto" w:fill="auto"/>
            <w:vAlign w:val="center"/>
          </w:tcPr>
          <w:p w14:paraId="7F8EDBDA">
            <w:pPr>
              <w:widowControl/>
              <w:jc w:val="left"/>
              <w:rPr>
                <w:rFonts w:ascii="宋体" w:hAnsi="宋体" w:cs="宋体"/>
                <w:color w:val="000000"/>
                <w:kern w:val="0"/>
                <w:sz w:val="20"/>
                <w:szCs w:val="20"/>
              </w:rPr>
            </w:pPr>
            <w:r>
              <w:rPr>
                <w:rFonts w:hint="eastAsia" w:ascii="宋体" w:hAnsi="宋体" w:cs="宋体"/>
                <w:color w:val="000000"/>
                <w:kern w:val="0"/>
                <w:sz w:val="20"/>
                <w:szCs w:val="20"/>
              </w:rPr>
              <w:t>按照正常比例赋分</w:t>
            </w:r>
          </w:p>
        </w:tc>
        <w:tc>
          <w:tcPr>
            <w:tcW w:w="691" w:type="dxa"/>
            <w:tcBorders>
              <w:top w:val="nil"/>
              <w:left w:val="nil"/>
              <w:bottom w:val="single" w:color="auto" w:sz="4" w:space="0"/>
              <w:right w:val="single" w:color="auto" w:sz="4" w:space="0"/>
            </w:tcBorders>
            <w:shd w:val="clear" w:color="auto" w:fill="auto"/>
            <w:vAlign w:val="center"/>
          </w:tcPr>
          <w:p w14:paraId="31C6EB31">
            <w:pPr>
              <w:widowControl/>
              <w:jc w:val="left"/>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998" w:type="dxa"/>
            <w:tcBorders>
              <w:top w:val="nil"/>
              <w:left w:val="nil"/>
              <w:bottom w:val="single" w:color="auto" w:sz="4" w:space="0"/>
              <w:right w:val="single" w:color="auto" w:sz="4" w:space="0"/>
            </w:tcBorders>
            <w:shd w:val="clear" w:color="auto" w:fill="auto"/>
            <w:vAlign w:val="center"/>
          </w:tcPr>
          <w:p w14:paraId="6E1E75D3">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16" w:type="dxa"/>
            <w:tcBorders>
              <w:top w:val="nil"/>
              <w:left w:val="nil"/>
              <w:bottom w:val="single" w:color="auto" w:sz="4" w:space="0"/>
              <w:right w:val="single" w:color="auto" w:sz="4" w:space="0"/>
            </w:tcBorders>
            <w:shd w:val="clear" w:color="auto" w:fill="auto"/>
            <w:vAlign w:val="center"/>
          </w:tcPr>
          <w:p w14:paraId="1818E7FB">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6D063D06">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575" w:type="dxa"/>
            <w:tcBorders>
              <w:top w:val="nil"/>
              <w:left w:val="nil"/>
              <w:bottom w:val="single" w:color="auto" w:sz="4" w:space="0"/>
              <w:right w:val="single" w:color="auto" w:sz="4" w:space="0"/>
            </w:tcBorders>
            <w:shd w:val="clear" w:color="auto" w:fill="auto"/>
            <w:vAlign w:val="center"/>
          </w:tcPr>
          <w:p w14:paraId="75215481">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14:paraId="37BA6E83">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172C75C1">
            <w:pPr>
              <w:widowControl/>
              <w:jc w:val="left"/>
              <w:rPr>
                <w:rFonts w:ascii="宋体" w:hAnsi="宋体" w:cs="宋体"/>
                <w:color w:val="000000"/>
                <w:kern w:val="0"/>
                <w:sz w:val="20"/>
                <w:szCs w:val="20"/>
              </w:rPr>
            </w:pPr>
          </w:p>
        </w:tc>
        <w:tc>
          <w:tcPr>
            <w:tcW w:w="982" w:type="dxa"/>
            <w:vMerge w:val="continue"/>
            <w:tcBorders>
              <w:top w:val="nil"/>
              <w:left w:val="single" w:color="auto" w:sz="4" w:space="0"/>
              <w:bottom w:val="single" w:color="auto" w:sz="4" w:space="0"/>
              <w:right w:val="single" w:color="auto" w:sz="4" w:space="0"/>
            </w:tcBorders>
            <w:vAlign w:val="center"/>
          </w:tcPr>
          <w:p w14:paraId="0E1B3583">
            <w:pPr>
              <w:widowControl/>
              <w:jc w:val="left"/>
              <w:rPr>
                <w:rFonts w:ascii="宋体" w:hAnsi="宋体" w:cs="宋体"/>
                <w:color w:val="000000"/>
                <w:kern w:val="0"/>
                <w:sz w:val="20"/>
                <w:szCs w:val="20"/>
              </w:rPr>
            </w:pPr>
          </w:p>
        </w:tc>
        <w:tc>
          <w:tcPr>
            <w:tcW w:w="982" w:type="dxa"/>
            <w:tcBorders>
              <w:top w:val="nil"/>
              <w:left w:val="nil"/>
              <w:bottom w:val="single" w:color="auto" w:sz="4" w:space="0"/>
              <w:right w:val="single" w:color="auto" w:sz="4" w:space="0"/>
            </w:tcBorders>
            <w:shd w:val="clear" w:color="auto" w:fill="auto"/>
            <w:vAlign w:val="center"/>
          </w:tcPr>
          <w:p w14:paraId="404AC5DD">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972" w:type="dxa"/>
            <w:tcBorders>
              <w:top w:val="nil"/>
              <w:left w:val="nil"/>
              <w:bottom w:val="single" w:color="auto" w:sz="4" w:space="0"/>
              <w:right w:val="single" w:color="auto" w:sz="4" w:space="0"/>
            </w:tcBorders>
            <w:shd w:val="clear" w:color="auto" w:fill="auto"/>
            <w:vAlign w:val="center"/>
          </w:tcPr>
          <w:p w14:paraId="64FFBF18">
            <w:pPr>
              <w:widowControl/>
              <w:jc w:val="left"/>
              <w:rPr>
                <w:rFonts w:ascii="宋体" w:hAnsi="宋体" w:cs="宋体"/>
                <w:color w:val="000000"/>
                <w:kern w:val="0"/>
                <w:sz w:val="20"/>
                <w:szCs w:val="20"/>
              </w:rPr>
            </w:pPr>
            <w:r>
              <w:rPr>
                <w:rFonts w:hint="eastAsia" w:ascii="宋体" w:hAnsi="宋体" w:cs="宋体"/>
                <w:color w:val="000000"/>
                <w:kern w:val="0"/>
                <w:sz w:val="20"/>
                <w:szCs w:val="20"/>
              </w:rPr>
              <w:t>设备质量合格率</w:t>
            </w:r>
          </w:p>
        </w:tc>
        <w:tc>
          <w:tcPr>
            <w:tcW w:w="995" w:type="dxa"/>
            <w:tcBorders>
              <w:top w:val="nil"/>
              <w:left w:val="nil"/>
              <w:bottom w:val="single" w:color="auto" w:sz="4" w:space="0"/>
              <w:right w:val="single" w:color="auto" w:sz="4" w:space="0"/>
            </w:tcBorders>
            <w:shd w:val="clear" w:color="auto" w:fill="auto"/>
            <w:vAlign w:val="center"/>
          </w:tcPr>
          <w:p w14:paraId="4C6D28AA">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982" w:type="dxa"/>
            <w:tcBorders>
              <w:top w:val="nil"/>
              <w:left w:val="nil"/>
              <w:bottom w:val="single" w:color="auto" w:sz="4" w:space="0"/>
              <w:right w:val="single" w:color="auto" w:sz="4" w:space="0"/>
            </w:tcBorders>
            <w:shd w:val="clear" w:color="auto" w:fill="auto"/>
            <w:vAlign w:val="center"/>
          </w:tcPr>
          <w:p w14:paraId="1FCE6707">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0AF0D329">
            <w:pPr>
              <w:widowControl/>
              <w:jc w:val="left"/>
              <w:rPr>
                <w:rFonts w:ascii="宋体" w:hAnsi="宋体" w:cs="宋体"/>
                <w:color w:val="000000"/>
                <w:kern w:val="0"/>
                <w:sz w:val="20"/>
                <w:szCs w:val="20"/>
              </w:rPr>
            </w:pPr>
            <w:r>
              <w:rPr>
                <w:rFonts w:hint="eastAsia" w:ascii="宋体" w:hAnsi="宋体" w:cs="宋体"/>
                <w:color w:val="000000"/>
                <w:kern w:val="0"/>
                <w:sz w:val="20"/>
                <w:szCs w:val="20"/>
              </w:rPr>
              <w:t>-</w:t>
            </w:r>
          </w:p>
        </w:tc>
        <w:tc>
          <w:tcPr>
            <w:tcW w:w="749" w:type="dxa"/>
            <w:tcBorders>
              <w:top w:val="nil"/>
              <w:left w:val="nil"/>
              <w:bottom w:val="single" w:color="auto" w:sz="4" w:space="0"/>
              <w:right w:val="single" w:color="auto" w:sz="4" w:space="0"/>
            </w:tcBorders>
            <w:shd w:val="clear" w:color="auto" w:fill="auto"/>
            <w:vAlign w:val="center"/>
          </w:tcPr>
          <w:p w14:paraId="3A8A94A3">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10" w:type="dxa"/>
            <w:tcBorders>
              <w:top w:val="nil"/>
              <w:left w:val="nil"/>
              <w:bottom w:val="single" w:color="auto" w:sz="4" w:space="0"/>
              <w:right w:val="single" w:color="auto" w:sz="4" w:space="0"/>
            </w:tcBorders>
            <w:shd w:val="clear" w:color="auto" w:fill="auto"/>
            <w:vAlign w:val="center"/>
          </w:tcPr>
          <w:p w14:paraId="225900A9">
            <w:pPr>
              <w:widowControl/>
              <w:jc w:val="left"/>
              <w:rPr>
                <w:rFonts w:ascii="宋体" w:hAnsi="宋体" w:cs="宋体"/>
                <w:color w:val="000000"/>
                <w:kern w:val="0"/>
                <w:sz w:val="20"/>
                <w:szCs w:val="20"/>
              </w:rPr>
            </w:pPr>
            <w:r>
              <w:rPr>
                <w:rFonts w:hint="eastAsia" w:ascii="宋体" w:hAnsi="宋体" w:cs="宋体"/>
                <w:color w:val="000000"/>
                <w:kern w:val="0"/>
                <w:sz w:val="20"/>
                <w:szCs w:val="20"/>
              </w:rPr>
              <w:t>按照正常比例赋分</w:t>
            </w:r>
          </w:p>
        </w:tc>
        <w:tc>
          <w:tcPr>
            <w:tcW w:w="691" w:type="dxa"/>
            <w:tcBorders>
              <w:top w:val="nil"/>
              <w:left w:val="nil"/>
              <w:bottom w:val="single" w:color="auto" w:sz="4" w:space="0"/>
              <w:right w:val="single" w:color="auto" w:sz="4" w:space="0"/>
            </w:tcBorders>
            <w:shd w:val="clear" w:color="auto" w:fill="auto"/>
            <w:vAlign w:val="center"/>
          </w:tcPr>
          <w:p w14:paraId="6A7F6014">
            <w:pPr>
              <w:widowControl/>
              <w:jc w:val="left"/>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998" w:type="dxa"/>
            <w:tcBorders>
              <w:top w:val="nil"/>
              <w:left w:val="nil"/>
              <w:bottom w:val="single" w:color="auto" w:sz="4" w:space="0"/>
              <w:right w:val="single" w:color="auto" w:sz="4" w:space="0"/>
            </w:tcBorders>
            <w:shd w:val="clear" w:color="auto" w:fill="auto"/>
            <w:vAlign w:val="center"/>
          </w:tcPr>
          <w:p w14:paraId="785BD184">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16" w:type="dxa"/>
            <w:tcBorders>
              <w:top w:val="nil"/>
              <w:left w:val="nil"/>
              <w:bottom w:val="single" w:color="auto" w:sz="4" w:space="0"/>
              <w:right w:val="single" w:color="auto" w:sz="4" w:space="0"/>
            </w:tcBorders>
            <w:shd w:val="clear" w:color="auto" w:fill="auto"/>
            <w:vAlign w:val="center"/>
          </w:tcPr>
          <w:p w14:paraId="0F099A7B">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01FF4113">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575" w:type="dxa"/>
            <w:tcBorders>
              <w:top w:val="nil"/>
              <w:left w:val="nil"/>
              <w:bottom w:val="single" w:color="auto" w:sz="4" w:space="0"/>
              <w:right w:val="single" w:color="auto" w:sz="4" w:space="0"/>
            </w:tcBorders>
            <w:shd w:val="clear" w:color="auto" w:fill="auto"/>
            <w:vAlign w:val="center"/>
          </w:tcPr>
          <w:p w14:paraId="4A9B3367">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14:paraId="684F379F">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58EF33FC">
            <w:pPr>
              <w:widowControl/>
              <w:jc w:val="left"/>
              <w:rPr>
                <w:rFonts w:ascii="宋体" w:hAnsi="宋体" w:cs="宋体"/>
                <w:color w:val="000000"/>
                <w:kern w:val="0"/>
                <w:sz w:val="20"/>
                <w:szCs w:val="20"/>
              </w:rPr>
            </w:pPr>
          </w:p>
        </w:tc>
        <w:tc>
          <w:tcPr>
            <w:tcW w:w="982" w:type="dxa"/>
            <w:vMerge w:val="continue"/>
            <w:tcBorders>
              <w:top w:val="nil"/>
              <w:left w:val="single" w:color="auto" w:sz="4" w:space="0"/>
              <w:bottom w:val="single" w:color="auto" w:sz="4" w:space="0"/>
              <w:right w:val="single" w:color="auto" w:sz="4" w:space="0"/>
            </w:tcBorders>
            <w:vAlign w:val="center"/>
          </w:tcPr>
          <w:p w14:paraId="69FA7406">
            <w:pPr>
              <w:widowControl/>
              <w:jc w:val="left"/>
              <w:rPr>
                <w:rFonts w:ascii="宋体" w:hAnsi="宋体" w:cs="宋体"/>
                <w:color w:val="000000"/>
                <w:kern w:val="0"/>
                <w:sz w:val="20"/>
                <w:szCs w:val="20"/>
              </w:rPr>
            </w:pPr>
          </w:p>
        </w:tc>
        <w:tc>
          <w:tcPr>
            <w:tcW w:w="982" w:type="dxa"/>
            <w:tcBorders>
              <w:top w:val="nil"/>
              <w:left w:val="nil"/>
              <w:bottom w:val="single" w:color="auto" w:sz="4" w:space="0"/>
              <w:right w:val="single" w:color="auto" w:sz="4" w:space="0"/>
            </w:tcBorders>
            <w:shd w:val="clear" w:color="auto" w:fill="auto"/>
            <w:vAlign w:val="center"/>
          </w:tcPr>
          <w:p w14:paraId="27BA8177">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972" w:type="dxa"/>
            <w:tcBorders>
              <w:top w:val="nil"/>
              <w:left w:val="nil"/>
              <w:bottom w:val="single" w:color="auto" w:sz="4" w:space="0"/>
              <w:right w:val="single" w:color="auto" w:sz="4" w:space="0"/>
            </w:tcBorders>
            <w:shd w:val="clear" w:color="auto" w:fill="auto"/>
            <w:vAlign w:val="center"/>
          </w:tcPr>
          <w:p w14:paraId="651B9459">
            <w:pPr>
              <w:widowControl/>
              <w:jc w:val="left"/>
              <w:rPr>
                <w:rFonts w:ascii="宋体" w:hAnsi="宋体" w:cs="宋体"/>
                <w:color w:val="000000"/>
                <w:kern w:val="0"/>
                <w:sz w:val="20"/>
                <w:szCs w:val="20"/>
              </w:rPr>
            </w:pPr>
            <w:r>
              <w:rPr>
                <w:rFonts w:hint="eastAsia" w:ascii="宋体" w:hAnsi="宋体" w:cs="宋体"/>
                <w:color w:val="000000"/>
                <w:kern w:val="0"/>
                <w:sz w:val="20"/>
                <w:szCs w:val="20"/>
              </w:rPr>
              <w:t>政府采购率</w:t>
            </w:r>
          </w:p>
        </w:tc>
        <w:tc>
          <w:tcPr>
            <w:tcW w:w="995" w:type="dxa"/>
            <w:tcBorders>
              <w:top w:val="nil"/>
              <w:left w:val="nil"/>
              <w:bottom w:val="single" w:color="auto" w:sz="4" w:space="0"/>
              <w:right w:val="single" w:color="auto" w:sz="4" w:space="0"/>
            </w:tcBorders>
            <w:shd w:val="clear" w:color="auto" w:fill="auto"/>
            <w:vAlign w:val="center"/>
          </w:tcPr>
          <w:p w14:paraId="15BCB7B4">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982" w:type="dxa"/>
            <w:tcBorders>
              <w:top w:val="nil"/>
              <w:left w:val="nil"/>
              <w:bottom w:val="single" w:color="auto" w:sz="4" w:space="0"/>
              <w:right w:val="single" w:color="auto" w:sz="4" w:space="0"/>
            </w:tcBorders>
            <w:shd w:val="clear" w:color="auto" w:fill="auto"/>
            <w:vAlign w:val="center"/>
          </w:tcPr>
          <w:p w14:paraId="2DADB6E2">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24151A1F">
            <w:pPr>
              <w:widowControl/>
              <w:jc w:val="left"/>
              <w:rPr>
                <w:rFonts w:ascii="宋体" w:hAnsi="宋体" w:cs="宋体"/>
                <w:color w:val="000000"/>
                <w:kern w:val="0"/>
                <w:sz w:val="20"/>
                <w:szCs w:val="20"/>
              </w:rPr>
            </w:pPr>
            <w:r>
              <w:rPr>
                <w:rFonts w:hint="eastAsia" w:ascii="宋体" w:hAnsi="宋体" w:cs="宋体"/>
                <w:color w:val="000000"/>
                <w:kern w:val="0"/>
                <w:sz w:val="20"/>
                <w:szCs w:val="20"/>
              </w:rPr>
              <w:t>-</w:t>
            </w:r>
          </w:p>
        </w:tc>
        <w:tc>
          <w:tcPr>
            <w:tcW w:w="749" w:type="dxa"/>
            <w:tcBorders>
              <w:top w:val="nil"/>
              <w:left w:val="nil"/>
              <w:bottom w:val="single" w:color="auto" w:sz="4" w:space="0"/>
              <w:right w:val="single" w:color="auto" w:sz="4" w:space="0"/>
            </w:tcBorders>
            <w:shd w:val="clear" w:color="auto" w:fill="auto"/>
            <w:vAlign w:val="center"/>
          </w:tcPr>
          <w:p w14:paraId="1192AC2C">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10" w:type="dxa"/>
            <w:tcBorders>
              <w:top w:val="nil"/>
              <w:left w:val="nil"/>
              <w:bottom w:val="single" w:color="auto" w:sz="4" w:space="0"/>
              <w:right w:val="single" w:color="auto" w:sz="4" w:space="0"/>
            </w:tcBorders>
            <w:shd w:val="clear" w:color="auto" w:fill="auto"/>
            <w:vAlign w:val="center"/>
          </w:tcPr>
          <w:p w14:paraId="6A430EAF">
            <w:pPr>
              <w:widowControl/>
              <w:jc w:val="left"/>
              <w:rPr>
                <w:rFonts w:ascii="宋体" w:hAnsi="宋体" w:cs="宋体"/>
                <w:color w:val="000000"/>
                <w:kern w:val="0"/>
                <w:sz w:val="20"/>
                <w:szCs w:val="20"/>
              </w:rPr>
            </w:pPr>
            <w:r>
              <w:rPr>
                <w:rFonts w:hint="eastAsia" w:ascii="宋体" w:hAnsi="宋体" w:cs="宋体"/>
                <w:color w:val="000000"/>
                <w:kern w:val="0"/>
                <w:sz w:val="20"/>
                <w:szCs w:val="20"/>
              </w:rPr>
              <w:t>按照正常比例赋分</w:t>
            </w:r>
          </w:p>
        </w:tc>
        <w:tc>
          <w:tcPr>
            <w:tcW w:w="691" w:type="dxa"/>
            <w:tcBorders>
              <w:top w:val="nil"/>
              <w:left w:val="nil"/>
              <w:bottom w:val="single" w:color="auto" w:sz="4" w:space="0"/>
              <w:right w:val="single" w:color="auto" w:sz="4" w:space="0"/>
            </w:tcBorders>
            <w:shd w:val="clear" w:color="auto" w:fill="auto"/>
            <w:vAlign w:val="center"/>
          </w:tcPr>
          <w:p w14:paraId="34922A56">
            <w:pPr>
              <w:widowControl/>
              <w:jc w:val="left"/>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998" w:type="dxa"/>
            <w:tcBorders>
              <w:top w:val="nil"/>
              <w:left w:val="nil"/>
              <w:bottom w:val="single" w:color="auto" w:sz="4" w:space="0"/>
              <w:right w:val="single" w:color="auto" w:sz="4" w:space="0"/>
            </w:tcBorders>
            <w:shd w:val="clear" w:color="auto" w:fill="auto"/>
            <w:vAlign w:val="center"/>
          </w:tcPr>
          <w:p w14:paraId="4A63CE5B">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16" w:type="dxa"/>
            <w:tcBorders>
              <w:top w:val="nil"/>
              <w:left w:val="nil"/>
              <w:bottom w:val="single" w:color="auto" w:sz="4" w:space="0"/>
              <w:right w:val="single" w:color="auto" w:sz="4" w:space="0"/>
            </w:tcBorders>
            <w:shd w:val="clear" w:color="auto" w:fill="auto"/>
            <w:vAlign w:val="center"/>
          </w:tcPr>
          <w:p w14:paraId="51CC3BF9">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1ABF4886">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575" w:type="dxa"/>
            <w:tcBorders>
              <w:top w:val="nil"/>
              <w:left w:val="nil"/>
              <w:bottom w:val="single" w:color="auto" w:sz="4" w:space="0"/>
              <w:right w:val="single" w:color="auto" w:sz="4" w:space="0"/>
            </w:tcBorders>
            <w:shd w:val="clear" w:color="auto" w:fill="auto"/>
            <w:vAlign w:val="center"/>
          </w:tcPr>
          <w:p w14:paraId="365EDEEA">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14:paraId="6A4335B1">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41CEF74F">
            <w:pPr>
              <w:widowControl/>
              <w:jc w:val="left"/>
              <w:rPr>
                <w:rFonts w:ascii="宋体" w:hAnsi="宋体" w:cs="宋体"/>
                <w:color w:val="000000"/>
                <w:kern w:val="0"/>
                <w:sz w:val="20"/>
                <w:szCs w:val="20"/>
              </w:rPr>
            </w:pPr>
          </w:p>
        </w:tc>
        <w:tc>
          <w:tcPr>
            <w:tcW w:w="982" w:type="dxa"/>
            <w:vMerge w:val="continue"/>
            <w:tcBorders>
              <w:top w:val="nil"/>
              <w:left w:val="single" w:color="auto" w:sz="4" w:space="0"/>
              <w:bottom w:val="single" w:color="auto" w:sz="4" w:space="0"/>
              <w:right w:val="single" w:color="auto" w:sz="4" w:space="0"/>
            </w:tcBorders>
            <w:vAlign w:val="center"/>
          </w:tcPr>
          <w:p w14:paraId="1240AEF6">
            <w:pPr>
              <w:widowControl/>
              <w:jc w:val="left"/>
              <w:rPr>
                <w:rFonts w:ascii="宋体" w:hAnsi="宋体" w:cs="宋体"/>
                <w:color w:val="000000"/>
                <w:kern w:val="0"/>
                <w:sz w:val="20"/>
                <w:szCs w:val="20"/>
              </w:rPr>
            </w:pPr>
          </w:p>
        </w:tc>
        <w:tc>
          <w:tcPr>
            <w:tcW w:w="982" w:type="dxa"/>
            <w:tcBorders>
              <w:top w:val="nil"/>
              <w:left w:val="nil"/>
              <w:bottom w:val="single" w:color="auto" w:sz="4" w:space="0"/>
              <w:right w:val="single" w:color="auto" w:sz="4" w:space="0"/>
            </w:tcBorders>
            <w:shd w:val="clear" w:color="auto" w:fill="auto"/>
            <w:vAlign w:val="center"/>
          </w:tcPr>
          <w:p w14:paraId="126B4794">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972" w:type="dxa"/>
            <w:tcBorders>
              <w:top w:val="nil"/>
              <w:left w:val="nil"/>
              <w:bottom w:val="single" w:color="auto" w:sz="4" w:space="0"/>
              <w:right w:val="single" w:color="auto" w:sz="4" w:space="0"/>
            </w:tcBorders>
            <w:shd w:val="clear" w:color="auto" w:fill="auto"/>
            <w:vAlign w:val="center"/>
          </w:tcPr>
          <w:p w14:paraId="232BCDF4">
            <w:pPr>
              <w:widowControl/>
              <w:jc w:val="left"/>
              <w:rPr>
                <w:rFonts w:ascii="宋体" w:hAnsi="宋体" w:cs="宋体"/>
                <w:color w:val="000000"/>
                <w:kern w:val="0"/>
                <w:sz w:val="20"/>
                <w:szCs w:val="20"/>
              </w:rPr>
            </w:pPr>
            <w:r>
              <w:rPr>
                <w:rFonts w:hint="eastAsia" w:ascii="宋体" w:hAnsi="宋体" w:cs="宋体"/>
                <w:color w:val="000000"/>
                <w:kern w:val="0"/>
                <w:sz w:val="20"/>
                <w:szCs w:val="20"/>
              </w:rPr>
              <w:t>困难重度残疾人家庭无障碍改造合格率</w:t>
            </w:r>
          </w:p>
        </w:tc>
        <w:tc>
          <w:tcPr>
            <w:tcW w:w="995" w:type="dxa"/>
            <w:tcBorders>
              <w:top w:val="nil"/>
              <w:left w:val="nil"/>
              <w:bottom w:val="single" w:color="auto" w:sz="4" w:space="0"/>
              <w:right w:val="single" w:color="auto" w:sz="4" w:space="0"/>
            </w:tcBorders>
            <w:shd w:val="clear" w:color="auto" w:fill="auto"/>
            <w:vAlign w:val="center"/>
          </w:tcPr>
          <w:p w14:paraId="467A28BA">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982" w:type="dxa"/>
            <w:tcBorders>
              <w:top w:val="nil"/>
              <w:left w:val="nil"/>
              <w:bottom w:val="single" w:color="auto" w:sz="4" w:space="0"/>
              <w:right w:val="single" w:color="auto" w:sz="4" w:space="0"/>
            </w:tcBorders>
            <w:shd w:val="clear" w:color="auto" w:fill="auto"/>
            <w:vAlign w:val="center"/>
          </w:tcPr>
          <w:p w14:paraId="38D9226C">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5BF96660">
            <w:pPr>
              <w:widowControl/>
              <w:jc w:val="left"/>
              <w:rPr>
                <w:rFonts w:ascii="宋体" w:hAnsi="宋体" w:cs="宋体"/>
                <w:color w:val="000000"/>
                <w:kern w:val="0"/>
                <w:sz w:val="20"/>
                <w:szCs w:val="20"/>
              </w:rPr>
            </w:pPr>
            <w:r>
              <w:rPr>
                <w:rFonts w:hint="eastAsia" w:ascii="宋体" w:hAnsi="宋体" w:cs="宋体"/>
                <w:color w:val="000000"/>
                <w:kern w:val="0"/>
                <w:sz w:val="20"/>
                <w:szCs w:val="20"/>
              </w:rPr>
              <w:t>-</w:t>
            </w:r>
          </w:p>
        </w:tc>
        <w:tc>
          <w:tcPr>
            <w:tcW w:w="749" w:type="dxa"/>
            <w:tcBorders>
              <w:top w:val="nil"/>
              <w:left w:val="nil"/>
              <w:bottom w:val="single" w:color="auto" w:sz="4" w:space="0"/>
              <w:right w:val="single" w:color="auto" w:sz="4" w:space="0"/>
            </w:tcBorders>
            <w:shd w:val="clear" w:color="auto" w:fill="auto"/>
            <w:vAlign w:val="center"/>
          </w:tcPr>
          <w:p w14:paraId="10731704">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10" w:type="dxa"/>
            <w:tcBorders>
              <w:top w:val="nil"/>
              <w:left w:val="nil"/>
              <w:bottom w:val="single" w:color="auto" w:sz="4" w:space="0"/>
              <w:right w:val="single" w:color="auto" w:sz="4" w:space="0"/>
            </w:tcBorders>
            <w:shd w:val="clear" w:color="auto" w:fill="auto"/>
            <w:vAlign w:val="center"/>
          </w:tcPr>
          <w:p w14:paraId="69A528B2">
            <w:pPr>
              <w:widowControl/>
              <w:jc w:val="left"/>
              <w:rPr>
                <w:rFonts w:ascii="宋体" w:hAnsi="宋体" w:cs="宋体"/>
                <w:color w:val="000000"/>
                <w:kern w:val="0"/>
                <w:sz w:val="20"/>
                <w:szCs w:val="20"/>
              </w:rPr>
            </w:pPr>
            <w:r>
              <w:rPr>
                <w:rFonts w:hint="eastAsia" w:ascii="宋体" w:hAnsi="宋体" w:cs="宋体"/>
                <w:color w:val="000000"/>
                <w:kern w:val="0"/>
                <w:sz w:val="20"/>
                <w:szCs w:val="20"/>
              </w:rPr>
              <w:t>按照正常比例赋分</w:t>
            </w:r>
          </w:p>
        </w:tc>
        <w:tc>
          <w:tcPr>
            <w:tcW w:w="691" w:type="dxa"/>
            <w:tcBorders>
              <w:top w:val="nil"/>
              <w:left w:val="nil"/>
              <w:bottom w:val="single" w:color="auto" w:sz="4" w:space="0"/>
              <w:right w:val="single" w:color="auto" w:sz="4" w:space="0"/>
            </w:tcBorders>
            <w:shd w:val="clear" w:color="auto" w:fill="auto"/>
            <w:vAlign w:val="center"/>
          </w:tcPr>
          <w:p w14:paraId="66F97189">
            <w:pPr>
              <w:widowControl/>
              <w:jc w:val="left"/>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998" w:type="dxa"/>
            <w:tcBorders>
              <w:top w:val="nil"/>
              <w:left w:val="nil"/>
              <w:bottom w:val="single" w:color="auto" w:sz="4" w:space="0"/>
              <w:right w:val="single" w:color="auto" w:sz="4" w:space="0"/>
            </w:tcBorders>
            <w:shd w:val="clear" w:color="auto" w:fill="auto"/>
            <w:vAlign w:val="center"/>
          </w:tcPr>
          <w:p w14:paraId="1AA503D2">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16" w:type="dxa"/>
            <w:tcBorders>
              <w:top w:val="nil"/>
              <w:left w:val="nil"/>
              <w:bottom w:val="single" w:color="auto" w:sz="4" w:space="0"/>
              <w:right w:val="single" w:color="auto" w:sz="4" w:space="0"/>
            </w:tcBorders>
            <w:shd w:val="clear" w:color="auto" w:fill="auto"/>
            <w:vAlign w:val="center"/>
          </w:tcPr>
          <w:p w14:paraId="7874F706">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43B15F9D">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575" w:type="dxa"/>
            <w:tcBorders>
              <w:top w:val="nil"/>
              <w:left w:val="nil"/>
              <w:bottom w:val="single" w:color="auto" w:sz="4" w:space="0"/>
              <w:right w:val="single" w:color="auto" w:sz="4" w:space="0"/>
            </w:tcBorders>
            <w:shd w:val="clear" w:color="auto" w:fill="auto"/>
            <w:vAlign w:val="center"/>
          </w:tcPr>
          <w:p w14:paraId="6AE1BF39">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14:paraId="24C26307">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6F34CD0F">
            <w:pPr>
              <w:widowControl/>
              <w:jc w:val="left"/>
              <w:rPr>
                <w:rFonts w:ascii="宋体" w:hAnsi="宋体" w:cs="宋体"/>
                <w:color w:val="000000"/>
                <w:kern w:val="0"/>
                <w:sz w:val="20"/>
                <w:szCs w:val="20"/>
              </w:rPr>
            </w:pPr>
          </w:p>
        </w:tc>
        <w:tc>
          <w:tcPr>
            <w:tcW w:w="982" w:type="dxa"/>
            <w:vMerge w:val="continue"/>
            <w:tcBorders>
              <w:top w:val="nil"/>
              <w:left w:val="single" w:color="auto" w:sz="4" w:space="0"/>
              <w:bottom w:val="single" w:color="auto" w:sz="4" w:space="0"/>
              <w:right w:val="single" w:color="auto" w:sz="4" w:space="0"/>
            </w:tcBorders>
            <w:vAlign w:val="center"/>
          </w:tcPr>
          <w:p w14:paraId="12EDB504">
            <w:pPr>
              <w:widowControl/>
              <w:jc w:val="left"/>
              <w:rPr>
                <w:rFonts w:ascii="宋体" w:hAnsi="宋体" w:cs="宋体"/>
                <w:color w:val="000000"/>
                <w:kern w:val="0"/>
                <w:sz w:val="20"/>
                <w:szCs w:val="20"/>
              </w:rPr>
            </w:pPr>
          </w:p>
        </w:tc>
        <w:tc>
          <w:tcPr>
            <w:tcW w:w="982" w:type="dxa"/>
            <w:tcBorders>
              <w:top w:val="nil"/>
              <w:left w:val="nil"/>
              <w:bottom w:val="single" w:color="auto" w:sz="4" w:space="0"/>
              <w:right w:val="single" w:color="auto" w:sz="4" w:space="0"/>
            </w:tcBorders>
            <w:shd w:val="clear" w:color="auto" w:fill="auto"/>
            <w:vAlign w:val="center"/>
          </w:tcPr>
          <w:p w14:paraId="66A45034">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972" w:type="dxa"/>
            <w:tcBorders>
              <w:top w:val="nil"/>
              <w:left w:val="nil"/>
              <w:bottom w:val="single" w:color="auto" w:sz="4" w:space="0"/>
              <w:right w:val="single" w:color="auto" w:sz="4" w:space="0"/>
            </w:tcBorders>
            <w:shd w:val="clear" w:color="auto" w:fill="auto"/>
            <w:vAlign w:val="center"/>
          </w:tcPr>
          <w:p w14:paraId="3704F62C">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残疾人事业发展补助资金支付及时率</w:t>
            </w:r>
          </w:p>
        </w:tc>
        <w:tc>
          <w:tcPr>
            <w:tcW w:w="995" w:type="dxa"/>
            <w:tcBorders>
              <w:top w:val="nil"/>
              <w:left w:val="nil"/>
              <w:bottom w:val="single" w:color="auto" w:sz="4" w:space="0"/>
              <w:right w:val="single" w:color="auto" w:sz="4" w:space="0"/>
            </w:tcBorders>
            <w:shd w:val="clear" w:color="auto" w:fill="auto"/>
            <w:vAlign w:val="center"/>
          </w:tcPr>
          <w:p w14:paraId="6FB0AFFB">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982" w:type="dxa"/>
            <w:tcBorders>
              <w:top w:val="nil"/>
              <w:left w:val="nil"/>
              <w:bottom w:val="single" w:color="auto" w:sz="4" w:space="0"/>
              <w:right w:val="single" w:color="auto" w:sz="4" w:space="0"/>
            </w:tcBorders>
            <w:shd w:val="clear" w:color="auto" w:fill="auto"/>
            <w:vAlign w:val="center"/>
          </w:tcPr>
          <w:p w14:paraId="2084CB84">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7ABA9E9D">
            <w:pPr>
              <w:widowControl/>
              <w:jc w:val="left"/>
              <w:rPr>
                <w:rFonts w:ascii="宋体" w:hAnsi="宋体" w:cs="宋体"/>
                <w:color w:val="000000"/>
                <w:kern w:val="0"/>
                <w:sz w:val="20"/>
                <w:szCs w:val="20"/>
              </w:rPr>
            </w:pPr>
            <w:r>
              <w:rPr>
                <w:rFonts w:hint="eastAsia" w:ascii="宋体" w:hAnsi="宋体" w:cs="宋体"/>
                <w:color w:val="000000"/>
                <w:kern w:val="0"/>
                <w:sz w:val="20"/>
                <w:szCs w:val="20"/>
              </w:rPr>
              <w:t>-</w:t>
            </w:r>
          </w:p>
        </w:tc>
        <w:tc>
          <w:tcPr>
            <w:tcW w:w="749" w:type="dxa"/>
            <w:tcBorders>
              <w:top w:val="nil"/>
              <w:left w:val="nil"/>
              <w:bottom w:val="single" w:color="auto" w:sz="4" w:space="0"/>
              <w:right w:val="single" w:color="auto" w:sz="4" w:space="0"/>
            </w:tcBorders>
            <w:shd w:val="clear" w:color="auto" w:fill="auto"/>
            <w:vAlign w:val="center"/>
          </w:tcPr>
          <w:p w14:paraId="5C1FB4AA">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10" w:type="dxa"/>
            <w:tcBorders>
              <w:top w:val="nil"/>
              <w:left w:val="nil"/>
              <w:bottom w:val="single" w:color="auto" w:sz="4" w:space="0"/>
              <w:right w:val="single" w:color="auto" w:sz="4" w:space="0"/>
            </w:tcBorders>
            <w:shd w:val="clear" w:color="auto" w:fill="auto"/>
            <w:vAlign w:val="center"/>
          </w:tcPr>
          <w:p w14:paraId="3F818654">
            <w:pPr>
              <w:widowControl/>
              <w:jc w:val="left"/>
              <w:rPr>
                <w:rFonts w:ascii="宋体" w:hAnsi="宋体" w:cs="宋体"/>
                <w:color w:val="000000"/>
                <w:kern w:val="0"/>
                <w:sz w:val="20"/>
                <w:szCs w:val="20"/>
              </w:rPr>
            </w:pPr>
            <w:r>
              <w:rPr>
                <w:rFonts w:hint="eastAsia" w:ascii="宋体" w:hAnsi="宋体" w:cs="宋体"/>
                <w:color w:val="000000"/>
                <w:kern w:val="0"/>
                <w:sz w:val="20"/>
                <w:szCs w:val="20"/>
              </w:rPr>
              <w:t>按照正常比例赋分</w:t>
            </w:r>
          </w:p>
        </w:tc>
        <w:tc>
          <w:tcPr>
            <w:tcW w:w="691" w:type="dxa"/>
            <w:tcBorders>
              <w:top w:val="nil"/>
              <w:left w:val="nil"/>
              <w:bottom w:val="single" w:color="auto" w:sz="4" w:space="0"/>
              <w:right w:val="single" w:color="auto" w:sz="4" w:space="0"/>
            </w:tcBorders>
            <w:shd w:val="clear" w:color="auto" w:fill="auto"/>
            <w:vAlign w:val="center"/>
          </w:tcPr>
          <w:p w14:paraId="0E3417B9">
            <w:pPr>
              <w:widowControl/>
              <w:jc w:val="left"/>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998" w:type="dxa"/>
            <w:tcBorders>
              <w:top w:val="nil"/>
              <w:left w:val="nil"/>
              <w:bottom w:val="single" w:color="auto" w:sz="4" w:space="0"/>
              <w:right w:val="single" w:color="auto" w:sz="4" w:space="0"/>
            </w:tcBorders>
            <w:shd w:val="clear" w:color="auto" w:fill="auto"/>
            <w:vAlign w:val="center"/>
          </w:tcPr>
          <w:p w14:paraId="5037F0FC">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16" w:type="dxa"/>
            <w:tcBorders>
              <w:top w:val="nil"/>
              <w:left w:val="nil"/>
              <w:bottom w:val="single" w:color="auto" w:sz="4" w:space="0"/>
              <w:right w:val="single" w:color="auto" w:sz="4" w:space="0"/>
            </w:tcBorders>
            <w:shd w:val="clear" w:color="auto" w:fill="auto"/>
            <w:vAlign w:val="center"/>
          </w:tcPr>
          <w:p w14:paraId="517C7DFC">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6395BB0E">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575" w:type="dxa"/>
            <w:tcBorders>
              <w:top w:val="nil"/>
              <w:left w:val="nil"/>
              <w:bottom w:val="single" w:color="auto" w:sz="4" w:space="0"/>
              <w:right w:val="single" w:color="auto" w:sz="4" w:space="0"/>
            </w:tcBorders>
            <w:shd w:val="clear" w:color="auto" w:fill="auto"/>
            <w:vAlign w:val="center"/>
          </w:tcPr>
          <w:p w14:paraId="5B5339FA">
            <w:pPr>
              <w:widowControl/>
              <w:jc w:val="center"/>
              <w:rPr>
                <w:rFonts w:ascii="宋体" w:hAnsi="宋体" w:cs="宋体"/>
                <w:color w:val="000000"/>
                <w:kern w:val="0"/>
                <w:sz w:val="18"/>
                <w:szCs w:val="18"/>
              </w:rPr>
            </w:pPr>
          </w:p>
        </w:tc>
      </w:tr>
      <w:tr w14:paraId="5CC7E14C">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20DE1DAD">
            <w:pPr>
              <w:widowControl/>
              <w:jc w:val="left"/>
              <w:rPr>
                <w:rFonts w:ascii="宋体" w:hAnsi="宋体" w:cs="宋体"/>
                <w:color w:val="000000"/>
                <w:kern w:val="0"/>
                <w:sz w:val="20"/>
                <w:szCs w:val="20"/>
              </w:rPr>
            </w:pPr>
          </w:p>
        </w:tc>
        <w:tc>
          <w:tcPr>
            <w:tcW w:w="982" w:type="dxa"/>
            <w:vMerge w:val="continue"/>
            <w:tcBorders>
              <w:top w:val="nil"/>
              <w:left w:val="single" w:color="auto" w:sz="4" w:space="0"/>
              <w:bottom w:val="single" w:color="auto" w:sz="4" w:space="0"/>
              <w:right w:val="single" w:color="auto" w:sz="4" w:space="0"/>
            </w:tcBorders>
            <w:vAlign w:val="center"/>
          </w:tcPr>
          <w:p w14:paraId="60E54549">
            <w:pPr>
              <w:widowControl/>
              <w:jc w:val="left"/>
              <w:rPr>
                <w:rFonts w:ascii="宋体" w:hAnsi="宋体" w:cs="宋体"/>
                <w:color w:val="000000"/>
                <w:kern w:val="0"/>
                <w:sz w:val="20"/>
                <w:szCs w:val="20"/>
              </w:rPr>
            </w:pPr>
          </w:p>
        </w:tc>
        <w:tc>
          <w:tcPr>
            <w:tcW w:w="982" w:type="dxa"/>
            <w:tcBorders>
              <w:top w:val="nil"/>
              <w:left w:val="nil"/>
              <w:bottom w:val="single" w:color="auto" w:sz="4" w:space="0"/>
              <w:right w:val="single" w:color="auto" w:sz="4" w:space="0"/>
            </w:tcBorders>
            <w:shd w:val="clear" w:color="auto" w:fill="auto"/>
            <w:vAlign w:val="center"/>
          </w:tcPr>
          <w:p w14:paraId="3688528A">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972" w:type="dxa"/>
            <w:tcBorders>
              <w:top w:val="nil"/>
              <w:left w:val="nil"/>
              <w:bottom w:val="single" w:color="auto" w:sz="4" w:space="0"/>
              <w:right w:val="single" w:color="auto" w:sz="4" w:space="0"/>
            </w:tcBorders>
            <w:shd w:val="clear" w:color="auto" w:fill="auto"/>
            <w:vAlign w:val="center"/>
          </w:tcPr>
          <w:p w14:paraId="2368E1DB">
            <w:pPr>
              <w:widowControl/>
              <w:jc w:val="left"/>
              <w:rPr>
                <w:rFonts w:ascii="宋体" w:hAnsi="宋体" w:cs="宋体"/>
                <w:color w:val="000000"/>
                <w:kern w:val="0"/>
                <w:sz w:val="20"/>
                <w:szCs w:val="20"/>
              </w:rPr>
            </w:pPr>
            <w:r>
              <w:rPr>
                <w:rFonts w:hint="eastAsia" w:ascii="宋体" w:hAnsi="宋体" w:cs="宋体"/>
                <w:color w:val="000000"/>
                <w:kern w:val="0"/>
                <w:sz w:val="20"/>
                <w:szCs w:val="20"/>
              </w:rPr>
              <w:t>设备采购按时完成率</w:t>
            </w:r>
          </w:p>
        </w:tc>
        <w:tc>
          <w:tcPr>
            <w:tcW w:w="995" w:type="dxa"/>
            <w:tcBorders>
              <w:top w:val="nil"/>
              <w:left w:val="nil"/>
              <w:bottom w:val="single" w:color="auto" w:sz="4" w:space="0"/>
              <w:right w:val="single" w:color="auto" w:sz="4" w:space="0"/>
            </w:tcBorders>
            <w:shd w:val="clear" w:color="auto" w:fill="auto"/>
            <w:vAlign w:val="center"/>
          </w:tcPr>
          <w:p w14:paraId="23BD1B95">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982" w:type="dxa"/>
            <w:tcBorders>
              <w:top w:val="nil"/>
              <w:left w:val="nil"/>
              <w:bottom w:val="single" w:color="auto" w:sz="4" w:space="0"/>
              <w:right w:val="single" w:color="auto" w:sz="4" w:space="0"/>
            </w:tcBorders>
            <w:shd w:val="clear" w:color="auto" w:fill="auto"/>
            <w:vAlign w:val="center"/>
          </w:tcPr>
          <w:p w14:paraId="3B0E65D8">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269910D4">
            <w:pPr>
              <w:widowControl/>
              <w:jc w:val="left"/>
              <w:rPr>
                <w:rFonts w:ascii="宋体" w:hAnsi="宋体" w:cs="宋体"/>
                <w:color w:val="000000"/>
                <w:kern w:val="0"/>
                <w:sz w:val="20"/>
                <w:szCs w:val="20"/>
              </w:rPr>
            </w:pPr>
            <w:r>
              <w:rPr>
                <w:rFonts w:hint="eastAsia" w:ascii="宋体" w:hAnsi="宋体" w:cs="宋体"/>
                <w:color w:val="000000"/>
                <w:kern w:val="0"/>
                <w:sz w:val="20"/>
                <w:szCs w:val="20"/>
              </w:rPr>
              <w:t>-</w:t>
            </w:r>
          </w:p>
        </w:tc>
        <w:tc>
          <w:tcPr>
            <w:tcW w:w="749" w:type="dxa"/>
            <w:tcBorders>
              <w:top w:val="nil"/>
              <w:left w:val="nil"/>
              <w:bottom w:val="single" w:color="auto" w:sz="4" w:space="0"/>
              <w:right w:val="single" w:color="auto" w:sz="4" w:space="0"/>
            </w:tcBorders>
            <w:shd w:val="clear" w:color="auto" w:fill="auto"/>
            <w:vAlign w:val="center"/>
          </w:tcPr>
          <w:p w14:paraId="2673B626">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10" w:type="dxa"/>
            <w:tcBorders>
              <w:top w:val="nil"/>
              <w:left w:val="nil"/>
              <w:bottom w:val="single" w:color="auto" w:sz="4" w:space="0"/>
              <w:right w:val="single" w:color="auto" w:sz="4" w:space="0"/>
            </w:tcBorders>
            <w:shd w:val="clear" w:color="auto" w:fill="auto"/>
            <w:vAlign w:val="center"/>
          </w:tcPr>
          <w:p w14:paraId="7392C9B5">
            <w:pPr>
              <w:widowControl/>
              <w:jc w:val="left"/>
              <w:rPr>
                <w:rFonts w:ascii="宋体" w:hAnsi="宋体" w:cs="宋体"/>
                <w:color w:val="000000"/>
                <w:kern w:val="0"/>
                <w:sz w:val="20"/>
                <w:szCs w:val="20"/>
              </w:rPr>
            </w:pPr>
            <w:r>
              <w:rPr>
                <w:rFonts w:hint="eastAsia" w:ascii="宋体" w:hAnsi="宋体" w:cs="宋体"/>
                <w:color w:val="000000"/>
                <w:kern w:val="0"/>
                <w:sz w:val="20"/>
                <w:szCs w:val="20"/>
              </w:rPr>
              <w:t>按照正常比例赋分</w:t>
            </w:r>
          </w:p>
        </w:tc>
        <w:tc>
          <w:tcPr>
            <w:tcW w:w="691" w:type="dxa"/>
            <w:tcBorders>
              <w:top w:val="nil"/>
              <w:left w:val="nil"/>
              <w:bottom w:val="single" w:color="auto" w:sz="4" w:space="0"/>
              <w:right w:val="single" w:color="auto" w:sz="4" w:space="0"/>
            </w:tcBorders>
            <w:shd w:val="clear" w:color="auto" w:fill="auto"/>
            <w:vAlign w:val="center"/>
          </w:tcPr>
          <w:p w14:paraId="6A1E77CE">
            <w:pPr>
              <w:widowControl/>
              <w:jc w:val="left"/>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998" w:type="dxa"/>
            <w:tcBorders>
              <w:top w:val="nil"/>
              <w:left w:val="nil"/>
              <w:bottom w:val="single" w:color="auto" w:sz="4" w:space="0"/>
              <w:right w:val="single" w:color="auto" w:sz="4" w:space="0"/>
            </w:tcBorders>
            <w:shd w:val="clear" w:color="auto" w:fill="auto"/>
            <w:vAlign w:val="center"/>
          </w:tcPr>
          <w:p w14:paraId="58F98F41">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16" w:type="dxa"/>
            <w:tcBorders>
              <w:top w:val="nil"/>
              <w:left w:val="nil"/>
              <w:bottom w:val="single" w:color="auto" w:sz="4" w:space="0"/>
              <w:right w:val="single" w:color="auto" w:sz="4" w:space="0"/>
            </w:tcBorders>
            <w:shd w:val="clear" w:color="auto" w:fill="auto"/>
            <w:vAlign w:val="center"/>
          </w:tcPr>
          <w:p w14:paraId="3E0882E6">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358ACB0C">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575" w:type="dxa"/>
            <w:tcBorders>
              <w:top w:val="nil"/>
              <w:left w:val="nil"/>
              <w:bottom w:val="single" w:color="auto" w:sz="4" w:space="0"/>
              <w:right w:val="single" w:color="auto" w:sz="4" w:space="0"/>
            </w:tcBorders>
            <w:shd w:val="clear" w:color="auto" w:fill="auto"/>
            <w:vAlign w:val="center"/>
          </w:tcPr>
          <w:p w14:paraId="3EC0DED4">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14:paraId="74DCCD5A">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6DB3705C">
            <w:pPr>
              <w:widowControl/>
              <w:jc w:val="left"/>
              <w:rPr>
                <w:rFonts w:ascii="宋体" w:hAnsi="宋体" w:cs="宋体"/>
                <w:color w:val="000000"/>
                <w:kern w:val="0"/>
                <w:sz w:val="20"/>
                <w:szCs w:val="20"/>
              </w:rPr>
            </w:pPr>
          </w:p>
        </w:tc>
        <w:tc>
          <w:tcPr>
            <w:tcW w:w="982" w:type="dxa"/>
            <w:vMerge w:val="continue"/>
            <w:tcBorders>
              <w:top w:val="nil"/>
              <w:left w:val="single" w:color="auto" w:sz="4" w:space="0"/>
              <w:bottom w:val="single" w:color="auto" w:sz="4" w:space="0"/>
              <w:right w:val="single" w:color="auto" w:sz="4" w:space="0"/>
            </w:tcBorders>
            <w:vAlign w:val="center"/>
          </w:tcPr>
          <w:p w14:paraId="5DF98357">
            <w:pPr>
              <w:widowControl/>
              <w:jc w:val="left"/>
              <w:rPr>
                <w:rFonts w:ascii="宋体" w:hAnsi="宋体" w:cs="宋体"/>
                <w:color w:val="000000"/>
                <w:kern w:val="0"/>
                <w:sz w:val="20"/>
                <w:szCs w:val="20"/>
              </w:rPr>
            </w:pPr>
          </w:p>
        </w:tc>
        <w:tc>
          <w:tcPr>
            <w:tcW w:w="982" w:type="dxa"/>
            <w:tcBorders>
              <w:top w:val="nil"/>
              <w:left w:val="nil"/>
              <w:bottom w:val="single" w:color="auto" w:sz="4" w:space="0"/>
              <w:right w:val="single" w:color="auto" w:sz="4" w:space="0"/>
            </w:tcBorders>
            <w:shd w:val="clear" w:color="auto" w:fill="auto"/>
            <w:vAlign w:val="center"/>
          </w:tcPr>
          <w:p w14:paraId="3BBA6476">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972" w:type="dxa"/>
            <w:tcBorders>
              <w:top w:val="nil"/>
              <w:left w:val="nil"/>
              <w:bottom w:val="single" w:color="auto" w:sz="4" w:space="0"/>
              <w:right w:val="single" w:color="auto" w:sz="4" w:space="0"/>
            </w:tcBorders>
            <w:shd w:val="clear" w:color="auto" w:fill="auto"/>
            <w:vAlign w:val="center"/>
          </w:tcPr>
          <w:p w14:paraId="3B95B40B">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项目完成时间</w:t>
            </w:r>
          </w:p>
        </w:tc>
        <w:tc>
          <w:tcPr>
            <w:tcW w:w="995" w:type="dxa"/>
            <w:tcBorders>
              <w:top w:val="nil"/>
              <w:left w:val="nil"/>
              <w:bottom w:val="single" w:color="auto" w:sz="4" w:space="0"/>
              <w:right w:val="single" w:color="auto" w:sz="4" w:space="0"/>
            </w:tcBorders>
            <w:shd w:val="clear" w:color="auto" w:fill="auto"/>
            <w:vAlign w:val="center"/>
          </w:tcPr>
          <w:p w14:paraId="32F71623">
            <w:pPr>
              <w:widowControl/>
              <w:jc w:val="left"/>
              <w:rPr>
                <w:rFonts w:ascii="宋体" w:hAnsi="宋体" w:cs="宋体"/>
                <w:color w:val="000000"/>
                <w:kern w:val="0"/>
                <w:sz w:val="20"/>
                <w:szCs w:val="20"/>
              </w:rPr>
            </w:pPr>
            <w:r>
              <w:rPr>
                <w:rFonts w:hint="eastAsia" w:ascii="宋体" w:hAnsi="宋体" w:cs="宋体"/>
                <w:color w:val="000000"/>
                <w:kern w:val="0"/>
                <w:sz w:val="20"/>
                <w:szCs w:val="20"/>
              </w:rPr>
              <w:t>2024年12月</w:t>
            </w:r>
          </w:p>
        </w:tc>
        <w:tc>
          <w:tcPr>
            <w:tcW w:w="982" w:type="dxa"/>
            <w:tcBorders>
              <w:top w:val="nil"/>
              <w:left w:val="nil"/>
              <w:bottom w:val="single" w:color="auto" w:sz="4" w:space="0"/>
              <w:right w:val="single" w:color="auto" w:sz="4" w:space="0"/>
            </w:tcBorders>
            <w:shd w:val="clear" w:color="auto" w:fill="auto"/>
            <w:vAlign w:val="center"/>
          </w:tcPr>
          <w:p w14:paraId="1C908EC2">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58552371">
            <w:pPr>
              <w:widowControl/>
              <w:jc w:val="left"/>
              <w:rPr>
                <w:rFonts w:ascii="宋体" w:hAnsi="宋体" w:cs="宋体"/>
                <w:color w:val="000000"/>
                <w:kern w:val="0"/>
                <w:sz w:val="20"/>
                <w:szCs w:val="20"/>
              </w:rPr>
            </w:pPr>
            <w:r>
              <w:rPr>
                <w:rFonts w:hint="eastAsia" w:ascii="宋体" w:hAnsi="宋体" w:cs="宋体"/>
                <w:color w:val="000000"/>
                <w:kern w:val="0"/>
                <w:sz w:val="20"/>
                <w:szCs w:val="20"/>
              </w:rPr>
              <w:t>-</w:t>
            </w:r>
          </w:p>
        </w:tc>
        <w:tc>
          <w:tcPr>
            <w:tcW w:w="749" w:type="dxa"/>
            <w:tcBorders>
              <w:top w:val="nil"/>
              <w:left w:val="nil"/>
              <w:bottom w:val="single" w:color="auto" w:sz="4" w:space="0"/>
              <w:right w:val="single" w:color="auto" w:sz="4" w:space="0"/>
            </w:tcBorders>
            <w:shd w:val="clear" w:color="auto" w:fill="auto"/>
            <w:vAlign w:val="center"/>
          </w:tcPr>
          <w:p w14:paraId="357AB607">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10" w:type="dxa"/>
            <w:tcBorders>
              <w:top w:val="nil"/>
              <w:left w:val="nil"/>
              <w:bottom w:val="single" w:color="auto" w:sz="4" w:space="0"/>
              <w:right w:val="single" w:color="auto" w:sz="4" w:space="0"/>
            </w:tcBorders>
            <w:shd w:val="clear" w:color="auto" w:fill="auto"/>
            <w:vAlign w:val="center"/>
          </w:tcPr>
          <w:p w14:paraId="7F3DECA6">
            <w:pPr>
              <w:widowControl/>
              <w:jc w:val="left"/>
              <w:rPr>
                <w:rFonts w:ascii="宋体" w:hAnsi="宋体" w:cs="宋体"/>
                <w:color w:val="000000"/>
                <w:kern w:val="0"/>
                <w:sz w:val="20"/>
                <w:szCs w:val="20"/>
              </w:rPr>
            </w:pPr>
            <w:r>
              <w:rPr>
                <w:rFonts w:hint="eastAsia" w:ascii="宋体" w:hAnsi="宋体" w:cs="宋体"/>
                <w:color w:val="000000"/>
                <w:kern w:val="0"/>
                <w:sz w:val="20"/>
                <w:szCs w:val="20"/>
              </w:rPr>
              <w:t>直接赋分</w:t>
            </w:r>
          </w:p>
        </w:tc>
        <w:tc>
          <w:tcPr>
            <w:tcW w:w="691" w:type="dxa"/>
            <w:tcBorders>
              <w:top w:val="nil"/>
              <w:left w:val="nil"/>
              <w:bottom w:val="single" w:color="auto" w:sz="4" w:space="0"/>
              <w:right w:val="single" w:color="auto" w:sz="4" w:space="0"/>
            </w:tcBorders>
            <w:shd w:val="clear" w:color="auto" w:fill="auto"/>
            <w:vAlign w:val="center"/>
          </w:tcPr>
          <w:p w14:paraId="16D5E7F6">
            <w:pPr>
              <w:widowControl/>
              <w:jc w:val="left"/>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998" w:type="dxa"/>
            <w:tcBorders>
              <w:top w:val="nil"/>
              <w:left w:val="nil"/>
              <w:bottom w:val="single" w:color="auto" w:sz="4" w:space="0"/>
              <w:right w:val="single" w:color="auto" w:sz="4" w:space="0"/>
            </w:tcBorders>
            <w:shd w:val="clear" w:color="auto" w:fill="auto"/>
            <w:vAlign w:val="center"/>
          </w:tcPr>
          <w:p w14:paraId="035849A6">
            <w:pPr>
              <w:widowControl/>
              <w:jc w:val="center"/>
              <w:rPr>
                <w:rFonts w:ascii="宋体" w:hAnsi="宋体" w:cs="宋体"/>
                <w:color w:val="000000"/>
                <w:kern w:val="0"/>
                <w:sz w:val="18"/>
                <w:szCs w:val="18"/>
              </w:rPr>
            </w:pPr>
            <w:r>
              <w:rPr>
                <w:rFonts w:hint="eastAsia" w:ascii="宋体" w:hAnsi="宋体" w:cs="宋体"/>
                <w:color w:val="000000"/>
                <w:kern w:val="0"/>
                <w:sz w:val="18"/>
                <w:szCs w:val="18"/>
              </w:rPr>
              <w:t>=2024年12月</w:t>
            </w:r>
          </w:p>
        </w:tc>
        <w:tc>
          <w:tcPr>
            <w:tcW w:w="916" w:type="dxa"/>
            <w:tcBorders>
              <w:top w:val="nil"/>
              <w:left w:val="nil"/>
              <w:bottom w:val="single" w:color="auto" w:sz="4" w:space="0"/>
              <w:right w:val="single" w:color="auto" w:sz="4" w:space="0"/>
            </w:tcBorders>
            <w:shd w:val="clear" w:color="auto" w:fill="auto"/>
            <w:vAlign w:val="center"/>
          </w:tcPr>
          <w:p w14:paraId="4C93604C">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649FDC5C">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575" w:type="dxa"/>
            <w:tcBorders>
              <w:top w:val="nil"/>
              <w:left w:val="nil"/>
              <w:bottom w:val="single" w:color="auto" w:sz="4" w:space="0"/>
              <w:right w:val="single" w:color="auto" w:sz="4" w:space="0"/>
            </w:tcBorders>
            <w:shd w:val="clear" w:color="auto" w:fill="auto"/>
            <w:vAlign w:val="center"/>
          </w:tcPr>
          <w:p w14:paraId="4E7687C5">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14:paraId="5CEE9CF7">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0EA2B40A">
            <w:pPr>
              <w:widowControl/>
              <w:jc w:val="left"/>
              <w:rPr>
                <w:rFonts w:ascii="宋体" w:hAnsi="宋体" w:cs="宋体"/>
                <w:color w:val="000000"/>
                <w:kern w:val="0"/>
                <w:sz w:val="20"/>
                <w:szCs w:val="20"/>
              </w:rPr>
            </w:pPr>
          </w:p>
        </w:tc>
        <w:tc>
          <w:tcPr>
            <w:tcW w:w="982" w:type="dxa"/>
            <w:vMerge w:val="restart"/>
            <w:tcBorders>
              <w:top w:val="nil"/>
              <w:left w:val="single" w:color="auto" w:sz="4" w:space="0"/>
              <w:bottom w:val="single" w:color="auto" w:sz="4" w:space="0"/>
              <w:right w:val="single" w:color="auto" w:sz="4" w:space="0"/>
            </w:tcBorders>
            <w:shd w:val="clear" w:color="auto" w:fill="auto"/>
            <w:vAlign w:val="center"/>
          </w:tcPr>
          <w:p w14:paraId="0B86DD75">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982" w:type="dxa"/>
            <w:tcBorders>
              <w:top w:val="nil"/>
              <w:left w:val="nil"/>
              <w:bottom w:val="single" w:color="auto" w:sz="4" w:space="0"/>
              <w:right w:val="single" w:color="auto" w:sz="4" w:space="0"/>
            </w:tcBorders>
            <w:shd w:val="clear" w:color="auto" w:fill="auto"/>
            <w:vAlign w:val="center"/>
          </w:tcPr>
          <w:p w14:paraId="26083BB9">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1972" w:type="dxa"/>
            <w:tcBorders>
              <w:top w:val="nil"/>
              <w:left w:val="nil"/>
              <w:bottom w:val="single" w:color="auto" w:sz="4" w:space="0"/>
              <w:right w:val="single" w:color="auto" w:sz="4" w:space="0"/>
            </w:tcBorders>
            <w:shd w:val="clear" w:color="auto" w:fill="auto"/>
            <w:vAlign w:val="center"/>
          </w:tcPr>
          <w:p w14:paraId="68345D36">
            <w:pPr>
              <w:widowControl/>
              <w:jc w:val="left"/>
              <w:rPr>
                <w:rFonts w:ascii="宋体" w:hAnsi="宋体" w:cs="宋体"/>
                <w:color w:val="000000"/>
                <w:kern w:val="0"/>
                <w:sz w:val="20"/>
                <w:szCs w:val="20"/>
              </w:rPr>
            </w:pPr>
            <w:r>
              <w:rPr>
                <w:rFonts w:hint="eastAsia" w:ascii="宋体" w:hAnsi="宋体" w:cs="宋体"/>
                <w:color w:val="000000"/>
                <w:kern w:val="0"/>
                <w:sz w:val="20"/>
                <w:szCs w:val="20"/>
              </w:rPr>
              <w:t>发放助学金标准</w:t>
            </w:r>
          </w:p>
        </w:tc>
        <w:tc>
          <w:tcPr>
            <w:tcW w:w="995" w:type="dxa"/>
            <w:tcBorders>
              <w:top w:val="nil"/>
              <w:left w:val="nil"/>
              <w:bottom w:val="single" w:color="auto" w:sz="4" w:space="0"/>
              <w:right w:val="single" w:color="auto" w:sz="4" w:space="0"/>
            </w:tcBorders>
            <w:shd w:val="clear" w:color="auto" w:fill="auto"/>
            <w:vAlign w:val="center"/>
          </w:tcPr>
          <w:p w14:paraId="4DD09D48">
            <w:pPr>
              <w:widowControl/>
              <w:jc w:val="left"/>
              <w:rPr>
                <w:rFonts w:ascii="宋体" w:hAnsi="宋体" w:cs="宋体"/>
                <w:color w:val="000000"/>
                <w:kern w:val="0"/>
                <w:sz w:val="20"/>
                <w:szCs w:val="20"/>
              </w:rPr>
            </w:pPr>
            <w:r>
              <w:rPr>
                <w:rFonts w:hint="eastAsia" w:ascii="宋体" w:hAnsi="宋体" w:cs="宋体"/>
                <w:color w:val="000000"/>
                <w:kern w:val="0"/>
                <w:sz w:val="20"/>
                <w:szCs w:val="20"/>
              </w:rPr>
              <w:t>&lt;=0.20万元/人/年</w:t>
            </w:r>
          </w:p>
        </w:tc>
        <w:tc>
          <w:tcPr>
            <w:tcW w:w="982" w:type="dxa"/>
            <w:tcBorders>
              <w:top w:val="nil"/>
              <w:left w:val="nil"/>
              <w:bottom w:val="single" w:color="auto" w:sz="4" w:space="0"/>
              <w:right w:val="single" w:color="auto" w:sz="4" w:space="0"/>
            </w:tcBorders>
            <w:shd w:val="clear" w:color="auto" w:fill="auto"/>
            <w:vAlign w:val="center"/>
          </w:tcPr>
          <w:p w14:paraId="4741C831">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34E2B6AC">
            <w:pPr>
              <w:widowControl/>
              <w:jc w:val="left"/>
              <w:rPr>
                <w:rFonts w:ascii="宋体" w:hAnsi="宋体" w:cs="宋体"/>
                <w:color w:val="000000"/>
                <w:kern w:val="0"/>
                <w:sz w:val="20"/>
                <w:szCs w:val="20"/>
              </w:rPr>
            </w:pPr>
            <w:r>
              <w:rPr>
                <w:rFonts w:hint="eastAsia" w:ascii="宋体" w:hAnsi="宋体" w:cs="宋体"/>
                <w:color w:val="000000"/>
                <w:kern w:val="0"/>
                <w:sz w:val="20"/>
                <w:szCs w:val="20"/>
              </w:rPr>
              <w:t>2.4万元</w:t>
            </w:r>
          </w:p>
        </w:tc>
        <w:tc>
          <w:tcPr>
            <w:tcW w:w="749" w:type="dxa"/>
            <w:tcBorders>
              <w:top w:val="nil"/>
              <w:left w:val="nil"/>
              <w:bottom w:val="single" w:color="auto" w:sz="4" w:space="0"/>
              <w:right w:val="single" w:color="auto" w:sz="4" w:space="0"/>
            </w:tcBorders>
            <w:shd w:val="clear" w:color="auto" w:fill="auto"/>
            <w:vAlign w:val="center"/>
          </w:tcPr>
          <w:p w14:paraId="697177EB">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710" w:type="dxa"/>
            <w:tcBorders>
              <w:top w:val="nil"/>
              <w:left w:val="nil"/>
              <w:bottom w:val="single" w:color="auto" w:sz="4" w:space="0"/>
              <w:right w:val="single" w:color="auto" w:sz="4" w:space="0"/>
            </w:tcBorders>
            <w:shd w:val="clear" w:color="auto" w:fill="auto"/>
            <w:vAlign w:val="center"/>
          </w:tcPr>
          <w:p w14:paraId="6398A900">
            <w:pPr>
              <w:widowControl/>
              <w:jc w:val="left"/>
              <w:rPr>
                <w:rFonts w:ascii="宋体" w:hAnsi="宋体" w:cs="宋体"/>
                <w:color w:val="000000"/>
                <w:kern w:val="0"/>
                <w:sz w:val="20"/>
                <w:szCs w:val="20"/>
              </w:rPr>
            </w:pPr>
            <w:r>
              <w:rPr>
                <w:rFonts w:hint="eastAsia" w:ascii="宋体" w:hAnsi="宋体" w:cs="宋体"/>
                <w:color w:val="000000"/>
                <w:kern w:val="0"/>
                <w:sz w:val="20"/>
                <w:szCs w:val="20"/>
              </w:rPr>
              <w:t>按照正常比例赋分</w:t>
            </w:r>
          </w:p>
        </w:tc>
        <w:tc>
          <w:tcPr>
            <w:tcW w:w="691" w:type="dxa"/>
            <w:tcBorders>
              <w:top w:val="nil"/>
              <w:left w:val="nil"/>
              <w:bottom w:val="single" w:color="auto" w:sz="4" w:space="0"/>
              <w:right w:val="single" w:color="auto" w:sz="4" w:space="0"/>
            </w:tcBorders>
            <w:shd w:val="clear" w:color="auto" w:fill="auto"/>
            <w:vAlign w:val="center"/>
          </w:tcPr>
          <w:p w14:paraId="3A6C45B8">
            <w:pPr>
              <w:widowControl/>
              <w:jc w:val="left"/>
              <w:rPr>
                <w:rFonts w:ascii="宋体" w:hAnsi="宋体" w:cs="宋体"/>
                <w:color w:val="000000"/>
                <w:kern w:val="0"/>
                <w:sz w:val="20"/>
                <w:szCs w:val="20"/>
              </w:rPr>
            </w:pPr>
            <w:r>
              <w:rPr>
                <w:rFonts w:hint="eastAsia" w:ascii="宋体" w:hAnsi="宋体" w:cs="宋体"/>
                <w:color w:val="000000"/>
                <w:kern w:val="0"/>
                <w:sz w:val="20"/>
                <w:szCs w:val="20"/>
              </w:rPr>
              <w:t>原始凭证</w:t>
            </w:r>
          </w:p>
        </w:tc>
        <w:tc>
          <w:tcPr>
            <w:tcW w:w="998" w:type="dxa"/>
            <w:tcBorders>
              <w:top w:val="nil"/>
              <w:left w:val="nil"/>
              <w:bottom w:val="single" w:color="auto" w:sz="4" w:space="0"/>
              <w:right w:val="single" w:color="auto" w:sz="4" w:space="0"/>
            </w:tcBorders>
            <w:shd w:val="clear" w:color="auto" w:fill="auto"/>
            <w:vAlign w:val="center"/>
          </w:tcPr>
          <w:p w14:paraId="26328C4D">
            <w:pPr>
              <w:widowControl/>
              <w:jc w:val="center"/>
              <w:rPr>
                <w:rFonts w:ascii="宋体" w:hAnsi="宋体" w:cs="宋体"/>
                <w:color w:val="000000"/>
                <w:kern w:val="0"/>
                <w:sz w:val="18"/>
                <w:szCs w:val="18"/>
              </w:rPr>
            </w:pPr>
            <w:r>
              <w:rPr>
                <w:rFonts w:hint="eastAsia" w:ascii="宋体" w:hAnsi="宋体" w:cs="宋体"/>
                <w:color w:val="000000"/>
                <w:kern w:val="0"/>
                <w:sz w:val="18"/>
                <w:szCs w:val="18"/>
              </w:rPr>
              <w:t>=0.2万元/人/年</w:t>
            </w:r>
          </w:p>
        </w:tc>
        <w:tc>
          <w:tcPr>
            <w:tcW w:w="916" w:type="dxa"/>
            <w:tcBorders>
              <w:top w:val="nil"/>
              <w:left w:val="nil"/>
              <w:bottom w:val="single" w:color="auto" w:sz="4" w:space="0"/>
              <w:right w:val="single" w:color="auto" w:sz="4" w:space="0"/>
            </w:tcBorders>
            <w:shd w:val="clear" w:color="auto" w:fill="auto"/>
            <w:vAlign w:val="center"/>
          </w:tcPr>
          <w:p w14:paraId="6180F517">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3B272F41">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1575" w:type="dxa"/>
            <w:tcBorders>
              <w:top w:val="nil"/>
              <w:left w:val="nil"/>
              <w:bottom w:val="single" w:color="auto" w:sz="4" w:space="0"/>
              <w:right w:val="single" w:color="auto" w:sz="4" w:space="0"/>
            </w:tcBorders>
            <w:shd w:val="clear" w:color="auto" w:fill="auto"/>
            <w:vAlign w:val="center"/>
          </w:tcPr>
          <w:p w14:paraId="68CA2EBF">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14:paraId="078A8F2C">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1D35166E">
            <w:pPr>
              <w:widowControl/>
              <w:jc w:val="left"/>
              <w:rPr>
                <w:rFonts w:ascii="宋体" w:hAnsi="宋体" w:cs="宋体"/>
                <w:color w:val="000000"/>
                <w:kern w:val="0"/>
                <w:sz w:val="20"/>
                <w:szCs w:val="20"/>
              </w:rPr>
            </w:pPr>
          </w:p>
        </w:tc>
        <w:tc>
          <w:tcPr>
            <w:tcW w:w="982" w:type="dxa"/>
            <w:vMerge w:val="continue"/>
            <w:tcBorders>
              <w:top w:val="nil"/>
              <w:left w:val="single" w:color="auto" w:sz="4" w:space="0"/>
              <w:bottom w:val="single" w:color="auto" w:sz="4" w:space="0"/>
              <w:right w:val="single" w:color="auto" w:sz="4" w:space="0"/>
            </w:tcBorders>
            <w:vAlign w:val="center"/>
          </w:tcPr>
          <w:p w14:paraId="2AC40DEA">
            <w:pPr>
              <w:widowControl/>
              <w:jc w:val="left"/>
              <w:rPr>
                <w:rFonts w:ascii="宋体" w:hAnsi="宋体" w:cs="宋体"/>
                <w:color w:val="000000"/>
                <w:kern w:val="0"/>
                <w:sz w:val="20"/>
                <w:szCs w:val="20"/>
              </w:rPr>
            </w:pPr>
          </w:p>
        </w:tc>
        <w:tc>
          <w:tcPr>
            <w:tcW w:w="982" w:type="dxa"/>
            <w:tcBorders>
              <w:top w:val="nil"/>
              <w:left w:val="nil"/>
              <w:bottom w:val="single" w:color="auto" w:sz="4" w:space="0"/>
              <w:right w:val="single" w:color="auto" w:sz="4" w:space="0"/>
            </w:tcBorders>
            <w:shd w:val="clear" w:color="auto" w:fill="auto"/>
            <w:vAlign w:val="center"/>
          </w:tcPr>
          <w:p w14:paraId="720E66C4">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1972" w:type="dxa"/>
            <w:tcBorders>
              <w:top w:val="nil"/>
              <w:left w:val="nil"/>
              <w:bottom w:val="single" w:color="auto" w:sz="4" w:space="0"/>
              <w:right w:val="single" w:color="auto" w:sz="4" w:space="0"/>
            </w:tcBorders>
            <w:shd w:val="clear" w:color="auto" w:fill="auto"/>
            <w:vAlign w:val="center"/>
          </w:tcPr>
          <w:p w14:paraId="1A280764">
            <w:pPr>
              <w:widowControl/>
              <w:jc w:val="left"/>
              <w:rPr>
                <w:rFonts w:ascii="宋体" w:hAnsi="宋体" w:cs="宋体"/>
                <w:color w:val="000000"/>
                <w:kern w:val="0"/>
                <w:sz w:val="20"/>
                <w:szCs w:val="20"/>
              </w:rPr>
            </w:pPr>
            <w:r>
              <w:rPr>
                <w:rFonts w:hint="eastAsia" w:ascii="宋体" w:hAnsi="宋体" w:cs="宋体"/>
                <w:color w:val="000000"/>
                <w:kern w:val="0"/>
                <w:sz w:val="20"/>
                <w:szCs w:val="20"/>
              </w:rPr>
              <w:t>动态更新专项调查工作经费控制数</w:t>
            </w:r>
          </w:p>
        </w:tc>
        <w:tc>
          <w:tcPr>
            <w:tcW w:w="995" w:type="dxa"/>
            <w:tcBorders>
              <w:top w:val="nil"/>
              <w:left w:val="nil"/>
              <w:bottom w:val="single" w:color="auto" w:sz="4" w:space="0"/>
              <w:right w:val="single" w:color="auto" w:sz="4" w:space="0"/>
            </w:tcBorders>
            <w:shd w:val="clear" w:color="auto" w:fill="auto"/>
            <w:vAlign w:val="center"/>
          </w:tcPr>
          <w:p w14:paraId="72BD91BA">
            <w:pPr>
              <w:widowControl/>
              <w:jc w:val="left"/>
              <w:rPr>
                <w:rFonts w:ascii="宋体" w:hAnsi="宋体" w:cs="宋体"/>
                <w:color w:val="000000"/>
                <w:kern w:val="0"/>
                <w:sz w:val="20"/>
                <w:szCs w:val="20"/>
              </w:rPr>
            </w:pPr>
            <w:r>
              <w:rPr>
                <w:rFonts w:hint="eastAsia" w:ascii="宋体" w:hAnsi="宋体" w:cs="宋体"/>
                <w:color w:val="000000"/>
                <w:kern w:val="0"/>
                <w:sz w:val="20"/>
                <w:szCs w:val="20"/>
              </w:rPr>
              <w:t>&lt;=6252元</w:t>
            </w:r>
          </w:p>
        </w:tc>
        <w:tc>
          <w:tcPr>
            <w:tcW w:w="982" w:type="dxa"/>
            <w:tcBorders>
              <w:top w:val="nil"/>
              <w:left w:val="nil"/>
              <w:bottom w:val="single" w:color="auto" w:sz="4" w:space="0"/>
              <w:right w:val="single" w:color="auto" w:sz="4" w:space="0"/>
            </w:tcBorders>
            <w:shd w:val="clear" w:color="auto" w:fill="auto"/>
            <w:vAlign w:val="center"/>
          </w:tcPr>
          <w:p w14:paraId="23070E4B">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614B1A8F">
            <w:pPr>
              <w:widowControl/>
              <w:jc w:val="left"/>
              <w:rPr>
                <w:rFonts w:ascii="宋体" w:hAnsi="宋体" w:cs="宋体"/>
                <w:color w:val="000000"/>
                <w:kern w:val="0"/>
                <w:sz w:val="20"/>
                <w:szCs w:val="20"/>
              </w:rPr>
            </w:pPr>
            <w:r>
              <w:rPr>
                <w:rFonts w:hint="eastAsia" w:ascii="宋体" w:hAnsi="宋体" w:cs="宋体"/>
                <w:color w:val="000000"/>
                <w:kern w:val="0"/>
                <w:sz w:val="20"/>
                <w:szCs w:val="20"/>
              </w:rPr>
              <w:t>-</w:t>
            </w:r>
          </w:p>
        </w:tc>
        <w:tc>
          <w:tcPr>
            <w:tcW w:w="749" w:type="dxa"/>
            <w:tcBorders>
              <w:top w:val="nil"/>
              <w:left w:val="nil"/>
              <w:bottom w:val="single" w:color="auto" w:sz="4" w:space="0"/>
              <w:right w:val="single" w:color="auto" w:sz="4" w:space="0"/>
            </w:tcBorders>
            <w:shd w:val="clear" w:color="auto" w:fill="auto"/>
            <w:vAlign w:val="center"/>
          </w:tcPr>
          <w:p w14:paraId="0DED7104">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710" w:type="dxa"/>
            <w:tcBorders>
              <w:top w:val="nil"/>
              <w:left w:val="nil"/>
              <w:bottom w:val="single" w:color="auto" w:sz="4" w:space="0"/>
              <w:right w:val="single" w:color="auto" w:sz="4" w:space="0"/>
            </w:tcBorders>
            <w:shd w:val="clear" w:color="auto" w:fill="auto"/>
            <w:vAlign w:val="center"/>
          </w:tcPr>
          <w:p w14:paraId="43270DAF">
            <w:pPr>
              <w:widowControl/>
              <w:jc w:val="left"/>
              <w:rPr>
                <w:rFonts w:ascii="宋体" w:hAnsi="宋体" w:cs="宋体"/>
                <w:color w:val="000000"/>
                <w:kern w:val="0"/>
                <w:sz w:val="20"/>
                <w:szCs w:val="20"/>
              </w:rPr>
            </w:pPr>
            <w:r>
              <w:rPr>
                <w:rFonts w:hint="eastAsia" w:ascii="宋体" w:hAnsi="宋体" w:cs="宋体"/>
                <w:color w:val="000000"/>
                <w:kern w:val="0"/>
                <w:sz w:val="20"/>
                <w:szCs w:val="20"/>
              </w:rPr>
              <w:t>按照正常比例赋分</w:t>
            </w:r>
          </w:p>
        </w:tc>
        <w:tc>
          <w:tcPr>
            <w:tcW w:w="691" w:type="dxa"/>
            <w:tcBorders>
              <w:top w:val="nil"/>
              <w:left w:val="nil"/>
              <w:bottom w:val="single" w:color="auto" w:sz="4" w:space="0"/>
              <w:right w:val="single" w:color="auto" w:sz="4" w:space="0"/>
            </w:tcBorders>
            <w:shd w:val="clear" w:color="auto" w:fill="auto"/>
            <w:vAlign w:val="center"/>
          </w:tcPr>
          <w:p w14:paraId="3A743235">
            <w:pPr>
              <w:widowControl/>
              <w:jc w:val="left"/>
              <w:rPr>
                <w:rFonts w:ascii="宋体" w:hAnsi="宋体" w:cs="宋体"/>
                <w:color w:val="000000"/>
                <w:kern w:val="0"/>
                <w:sz w:val="20"/>
                <w:szCs w:val="20"/>
              </w:rPr>
            </w:pPr>
            <w:r>
              <w:rPr>
                <w:rFonts w:hint="eastAsia" w:ascii="宋体" w:hAnsi="宋体" w:cs="宋体"/>
                <w:color w:val="000000"/>
                <w:kern w:val="0"/>
                <w:sz w:val="20"/>
                <w:szCs w:val="20"/>
              </w:rPr>
              <w:t>原始凭证</w:t>
            </w:r>
          </w:p>
        </w:tc>
        <w:tc>
          <w:tcPr>
            <w:tcW w:w="998" w:type="dxa"/>
            <w:tcBorders>
              <w:top w:val="nil"/>
              <w:left w:val="nil"/>
              <w:bottom w:val="single" w:color="auto" w:sz="4" w:space="0"/>
              <w:right w:val="single" w:color="auto" w:sz="4" w:space="0"/>
            </w:tcBorders>
            <w:shd w:val="clear" w:color="auto" w:fill="auto"/>
            <w:vAlign w:val="center"/>
          </w:tcPr>
          <w:p w14:paraId="4D98E4E4">
            <w:pPr>
              <w:widowControl/>
              <w:jc w:val="center"/>
              <w:rPr>
                <w:rFonts w:ascii="宋体" w:hAnsi="宋体" w:cs="宋体"/>
                <w:color w:val="000000"/>
                <w:kern w:val="0"/>
                <w:sz w:val="18"/>
                <w:szCs w:val="18"/>
              </w:rPr>
            </w:pPr>
            <w:r>
              <w:rPr>
                <w:rFonts w:hint="eastAsia" w:ascii="宋体" w:hAnsi="宋体" w:cs="宋体"/>
                <w:color w:val="000000"/>
                <w:kern w:val="0"/>
                <w:sz w:val="18"/>
                <w:szCs w:val="18"/>
              </w:rPr>
              <w:t>=2452元</w:t>
            </w:r>
          </w:p>
        </w:tc>
        <w:tc>
          <w:tcPr>
            <w:tcW w:w="916" w:type="dxa"/>
            <w:tcBorders>
              <w:top w:val="nil"/>
              <w:left w:val="nil"/>
              <w:bottom w:val="single" w:color="auto" w:sz="4" w:space="0"/>
              <w:right w:val="single" w:color="auto" w:sz="4" w:space="0"/>
            </w:tcBorders>
            <w:shd w:val="clear" w:color="auto" w:fill="auto"/>
            <w:vAlign w:val="center"/>
          </w:tcPr>
          <w:p w14:paraId="0EFDBBF2">
            <w:pPr>
              <w:widowControl/>
              <w:jc w:val="left"/>
              <w:rPr>
                <w:rFonts w:ascii="宋体" w:hAnsi="宋体" w:cs="宋体"/>
                <w:color w:val="000000"/>
                <w:kern w:val="0"/>
                <w:sz w:val="20"/>
                <w:szCs w:val="20"/>
              </w:rPr>
            </w:pPr>
            <w:r>
              <w:rPr>
                <w:rFonts w:hint="eastAsia" w:ascii="宋体" w:hAnsi="宋体" w:cs="宋体"/>
                <w:color w:val="000000"/>
                <w:kern w:val="0"/>
                <w:sz w:val="20"/>
                <w:szCs w:val="20"/>
              </w:rPr>
              <w:t>39.2%</w:t>
            </w:r>
          </w:p>
        </w:tc>
        <w:tc>
          <w:tcPr>
            <w:tcW w:w="680" w:type="dxa"/>
            <w:tcBorders>
              <w:top w:val="nil"/>
              <w:left w:val="nil"/>
              <w:bottom w:val="single" w:color="auto" w:sz="4" w:space="0"/>
              <w:right w:val="single" w:color="auto" w:sz="4" w:space="0"/>
            </w:tcBorders>
            <w:shd w:val="clear" w:color="auto" w:fill="auto"/>
            <w:vAlign w:val="center"/>
          </w:tcPr>
          <w:p w14:paraId="7EDBFC01">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1575" w:type="dxa"/>
            <w:tcBorders>
              <w:top w:val="nil"/>
              <w:left w:val="nil"/>
              <w:bottom w:val="single" w:color="auto" w:sz="4" w:space="0"/>
              <w:right w:val="single" w:color="auto" w:sz="4" w:space="0"/>
            </w:tcBorders>
            <w:shd w:val="clear" w:color="auto" w:fill="auto"/>
            <w:vAlign w:val="center"/>
          </w:tcPr>
          <w:p w14:paraId="4431D775">
            <w:pPr>
              <w:widowControl/>
              <w:jc w:val="center"/>
              <w:rPr>
                <w:rFonts w:ascii="宋体" w:hAnsi="宋体" w:cs="宋体"/>
                <w:color w:val="000000"/>
                <w:kern w:val="0"/>
                <w:sz w:val="18"/>
                <w:szCs w:val="18"/>
              </w:rPr>
            </w:pPr>
            <w:r>
              <w:rPr>
                <w:rFonts w:hint="eastAsia" w:ascii="宋体" w:hAnsi="宋体" w:cs="宋体"/>
                <w:color w:val="000000"/>
                <w:kern w:val="0"/>
                <w:sz w:val="18"/>
                <w:szCs w:val="18"/>
              </w:rPr>
              <w:t>偏差原因：材料不齐全，资金未支付；改进措施：尽快整理材料，完成资金支付。</w:t>
            </w:r>
          </w:p>
        </w:tc>
      </w:tr>
      <w:tr w14:paraId="459CE31A">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1CF775E9">
            <w:pPr>
              <w:widowControl/>
              <w:jc w:val="left"/>
              <w:rPr>
                <w:rFonts w:ascii="宋体" w:hAnsi="宋体" w:cs="宋体"/>
                <w:color w:val="000000"/>
                <w:kern w:val="0"/>
                <w:sz w:val="20"/>
                <w:szCs w:val="20"/>
              </w:rPr>
            </w:pPr>
          </w:p>
        </w:tc>
        <w:tc>
          <w:tcPr>
            <w:tcW w:w="982" w:type="dxa"/>
            <w:vMerge w:val="continue"/>
            <w:tcBorders>
              <w:top w:val="nil"/>
              <w:left w:val="single" w:color="auto" w:sz="4" w:space="0"/>
              <w:bottom w:val="single" w:color="auto" w:sz="4" w:space="0"/>
              <w:right w:val="single" w:color="auto" w:sz="4" w:space="0"/>
            </w:tcBorders>
            <w:vAlign w:val="center"/>
          </w:tcPr>
          <w:p w14:paraId="72F1A6D6">
            <w:pPr>
              <w:widowControl/>
              <w:jc w:val="left"/>
              <w:rPr>
                <w:rFonts w:ascii="宋体" w:hAnsi="宋体" w:cs="宋体"/>
                <w:color w:val="000000"/>
                <w:kern w:val="0"/>
                <w:sz w:val="20"/>
                <w:szCs w:val="20"/>
              </w:rPr>
            </w:pPr>
          </w:p>
        </w:tc>
        <w:tc>
          <w:tcPr>
            <w:tcW w:w="982" w:type="dxa"/>
            <w:tcBorders>
              <w:top w:val="nil"/>
              <w:left w:val="nil"/>
              <w:bottom w:val="single" w:color="auto" w:sz="4" w:space="0"/>
              <w:right w:val="single" w:color="auto" w:sz="4" w:space="0"/>
            </w:tcBorders>
            <w:shd w:val="clear" w:color="auto" w:fill="auto"/>
            <w:vAlign w:val="center"/>
          </w:tcPr>
          <w:p w14:paraId="77F5B9EE">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1972" w:type="dxa"/>
            <w:tcBorders>
              <w:top w:val="nil"/>
              <w:left w:val="nil"/>
              <w:bottom w:val="single" w:color="auto" w:sz="4" w:space="0"/>
              <w:right w:val="single" w:color="auto" w:sz="4" w:space="0"/>
            </w:tcBorders>
            <w:shd w:val="clear" w:color="auto" w:fill="auto"/>
            <w:vAlign w:val="center"/>
          </w:tcPr>
          <w:p w14:paraId="3C342765">
            <w:pPr>
              <w:widowControl/>
              <w:jc w:val="left"/>
              <w:rPr>
                <w:rFonts w:ascii="宋体" w:hAnsi="宋体" w:cs="宋体"/>
                <w:color w:val="000000"/>
                <w:kern w:val="0"/>
                <w:sz w:val="20"/>
                <w:szCs w:val="20"/>
              </w:rPr>
            </w:pPr>
            <w:r>
              <w:rPr>
                <w:rFonts w:hint="eastAsia" w:ascii="宋体" w:hAnsi="宋体" w:cs="宋体"/>
                <w:color w:val="000000"/>
                <w:kern w:val="0"/>
                <w:sz w:val="20"/>
                <w:szCs w:val="20"/>
              </w:rPr>
              <w:t>爱耳日宣传经费</w:t>
            </w:r>
          </w:p>
        </w:tc>
        <w:tc>
          <w:tcPr>
            <w:tcW w:w="995" w:type="dxa"/>
            <w:tcBorders>
              <w:top w:val="nil"/>
              <w:left w:val="nil"/>
              <w:bottom w:val="single" w:color="auto" w:sz="4" w:space="0"/>
              <w:right w:val="single" w:color="auto" w:sz="4" w:space="0"/>
            </w:tcBorders>
            <w:shd w:val="clear" w:color="auto" w:fill="auto"/>
            <w:vAlign w:val="center"/>
          </w:tcPr>
          <w:p w14:paraId="31E23655">
            <w:pPr>
              <w:widowControl/>
              <w:jc w:val="left"/>
              <w:rPr>
                <w:rFonts w:ascii="宋体" w:hAnsi="宋体" w:cs="宋体"/>
                <w:color w:val="000000"/>
                <w:kern w:val="0"/>
                <w:sz w:val="20"/>
                <w:szCs w:val="20"/>
              </w:rPr>
            </w:pPr>
            <w:r>
              <w:rPr>
                <w:rFonts w:hint="eastAsia" w:ascii="宋体" w:hAnsi="宋体" w:cs="宋体"/>
                <w:color w:val="000000"/>
                <w:kern w:val="0"/>
                <w:sz w:val="20"/>
                <w:szCs w:val="20"/>
              </w:rPr>
              <w:t>&lt;=2000元</w:t>
            </w:r>
          </w:p>
        </w:tc>
        <w:tc>
          <w:tcPr>
            <w:tcW w:w="982" w:type="dxa"/>
            <w:tcBorders>
              <w:top w:val="nil"/>
              <w:left w:val="nil"/>
              <w:bottom w:val="single" w:color="auto" w:sz="4" w:space="0"/>
              <w:right w:val="single" w:color="auto" w:sz="4" w:space="0"/>
            </w:tcBorders>
            <w:shd w:val="clear" w:color="auto" w:fill="auto"/>
            <w:vAlign w:val="center"/>
          </w:tcPr>
          <w:p w14:paraId="7BE97DF5">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12EA89E4">
            <w:pPr>
              <w:widowControl/>
              <w:jc w:val="left"/>
              <w:rPr>
                <w:rFonts w:ascii="宋体" w:hAnsi="宋体" w:cs="宋体"/>
                <w:color w:val="000000"/>
                <w:kern w:val="0"/>
                <w:sz w:val="20"/>
                <w:szCs w:val="20"/>
              </w:rPr>
            </w:pPr>
            <w:r>
              <w:rPr>
                <w:rFonts w:hint="eastAsia" w:ascii="宋体" w:hAnsi="宋体" w:cs="宋体"/>
                <w:color w:val="000000"/>
                <w:kern w:val="0"/>
                <w:sz w:val="20"/>
                <w:szCs w:val="20"/>
              </w:rPr>
              <w:t>-</w:t>
            </w:r>
          </w:p>
        </w:tc>
        <w:tc>
          <w:tcPr>
            <w:tcW w:w="749" w:type="dxa"/>
            <w:tcBorders>
              <w:top w:val="nil"/>
              <w:left w:val="nil"/>
              <w:bottom w:val="single" w:color="auto" w:sz="4" w:space="0"/>
              <w:right w:val="single" w:color="auto" w:sz="4" w:space="0"/>
            </w:tcBorders>
            <w:shd w:val="clear" w:color="auto" w:fill="auto"/>
            <w:vAlign w:val="center"/>
          </w:tcPr>
          <w:p w14:paraId="5183A341">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710" w:type="dxa"/>
            <w:tcBorders>
              <w:top w:val="nil"/>
              <w:left w:val="nil"/>
              <w:bottom w:val="single" w:color="auto" w:sz="4" w:space="0"/>
              <w:right w:val="single" w:color="auto" w:sz="4" w:space="0"/>
            </w:tcBorders>
            <w:shd w:val="clear" w:color="auto" w:fill="auto"/>
            <w:vAlign w:val="center"/>
          </w:tcPr>
          <w:p w14:paraId="360847C2">
            <w:pPr>
              <w:widowControl/>
              <w:jc w:val="left"/>
              <w:rPr>
                <w:rFonts w:ascii="宋体" w:hAnsi="宋体" w:cs="宋体"/>
                <w:color w:val="000000"/>
                <w:kern w:val="0"/>
                <w:sz w:val="20"/>
                <w:szCs w:val="20"/>
              </w:rPr>
            </w:pPr>
            <w:r>
              <w:rPr>
                <w:rFonts w:hint="eastAsia" w:ascii="宋体" w:hAnsi="宋体" w:cs="宋体"/>
                <w:color w:val="000000"/>
                <w:kern w:val="0"/>
                <w:sz w:val="20"/>
                <w:szCs w:val="20"/>
              </w:rPr>
              <w:t>按照正常比例赋分</w:t>
            </w:r>
          </w:p>
        </w:tc>
        <w:tc>
          <w:tcPr>
            <w:tcW w:w="691" w:type="dxa"/>
            <w:tcBorders>
              <w:top w:val="nil"/>
              <w:left w:val="nil"/>
              <w:bottom w:val="single" w:color="auto" w:sz="4" w:space="0"/>
              <w:right w:val="single" w:color="auto" w:sz="4" w:space="0"/>
            </w:tcBorders>
            <w:shd w:val="clear" w:color="auto" w:fill="auto"/>
            <w:vAlign w:val="center"/>
          </w:tcPr>
          <w:p w14:paraId="5FB02781">
            <w:pPr>
              <w:widowControl/>
              <w:jc w:val="left"/>
              <w:rPr>
                <w:rFonts w:ascii="宋体" w:hAnsi="宋体" w:cs="宋体"/>
                <w:color w:val="000000"/>
                <w:kern w:val="0"/>
                <w:sz w:val="20"/>
                <w:szCs w:val="20"/>
              </w:rPr>
            </w:pPr>
            <w:r>
              <w:rPr>
                <w:rFonts w:hint="eastAsia" w:ascii="宋体" w:hAnsi="宋体" w:cs="宋体"/>
                <w:color w:val="000000"/>
                <w:kern w:val="0"/>
                <w:sz w:val="20"/>
                <w:szCs w:val="20"/>
              </w:rPr>
              <w:t>原始凭证</w:t>
            </w:r>
          </w:p>
        </w:tc>
        <w:tc>
          <w:tcPr>
            <w:tcW w:w="998" w:type="dxa"/>
            <w:tcBorders>
              <w:top w:val="nil"/>
              <w:left w:val="nil"/>
              <w:bottom w:val="single" w:color="auto" w:sz="4" w:space="0"/>
              <w:right w:val="single" w:color="auto" w:sz="4" w:space="0"/>
            </w:tcBorders>
            <w:shd w:val="clear" w:color="auto" w:fill="auto"/>
            <w:vAlign w:val="center"/>
          </w:tcPr>
          <w:p w14:paraId="18546072">
            <w:pPr>
              <w:widowControl/>
              <w:jc w:val="center"/>
              <w:rPr>
                <w:rFonts w:ascii="宋体" w:hAnsi="宋体" w:cs="宋体"/>
                <w:color w:val="000000"/>
                <w:kern w:val="0"/>
                <w:sz w:val="18"/>
                <w:szCs w:val="18"/>
              </w:rPr>
            </w:pPr>
            <w:r>
              <w:rPr>
                <w:rFonts w:hint="eastAsia" w:ascii="宋体" w:hAnsi="宋体" w:cs="宋体"/>
                <w:color w:val="000000"/>
                <w:kern w:val="0"/>
                <w:sz w:val="18"/>
                <w:szCs w:val="18"/>
              </w:rPr>
              <w:t>=2000元</w:t>
            </w:r>
          </w:p>
        </w:tc>
        <w:tc>
          <w:tcPr>
            <w:tcW w:w="916" w:type="dxa"/>
            <w:tcBorders>
              <w:top w:val="nil"/>
              <w:left w:val="nil"/>
              <w:bottom w:val="single" w:color="auto" w:sz="4" w:space="0"/>
              <w:right w:val="single" w:color="auto" w:sz="4" w:space="0"/>
            </w:tcBorders>
            <w:shd w:val="clear" w:color="auto" w:fill="auto"/>
            <w:vAlign w:val="center"/>
          </w:tcPr>
          <w:p w14:paraId="68C159DB">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120E7079">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1575" w:type="dxa"/>
            <w:tcBorders>
              <w:top w:val="nil"/>
              <w:left w:val="nil"/>
              <w:bottom w:val="single" w:color="auto" w:sz="4" w:space="0"/>
              <w:right w:val="single" w:color="auto" w:sz="4" w:space="0"/>
            </w:tcBorders>
            <w:shd w:val="clear" w:color="auto" w:fill="auto"/>
            <w:vAlign w:val="center"/>
          </w:tcPr>
          <w:p w14:paraId="289D5EBF">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14:paraId="221A6170">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6F3C5B54">
            <w:pPr>
              <w:widowControl/>
              <w:jc w:val="left"/>
              <w:rPr>
                <w:rFonts w:ascii="宋体" w:hAnsi="宋体" w:cs="宋体"/>
                <w:color w:val="000000"/>
                <w:kern w:val="0"/>
                <w:sz w:val="20"/>
                <w:szCs w:val="20"/>
              </w:rPr>
            </w:pPr>
          </w:p>
        </w:tc>
        <w:tc>
          <w:tcPr>
            <w:tcW w:w="982" w:type="dxa"/>
            <w:vMerge w:val="restart"/>
            <w:tcBorders>
              <w:top w:val="nil"/>
              <w:left w:val="single" w:color="auto" w:sz="4" w:space="0"/>
              <w:bottom w:val="single" w:color="auto" w:sz="4" w:space="0"/>
              <w:right w:val="single" w:color="auto" w:sz="4" w:space="0"/>
            </w:tcBorders>
            <w:shd w:val="clear" w:color="auto" w:fill="auto"/>
            <w:vAlign w:val="center"/>
          </w:tcPr>
          <w:p w14:paraId="70423EBE">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982" w:type="dxa"/>
            <w:tcBorders>
              <w:top w:val="nil"/>
              <w:left w:val="nil"/>
              <w:bottom w:val="single" w:color="auto" w:sz="4" w:space="0"/>
              <w:right w:val="single" w:color="auto" w:sz="4" w:space="0"/>
            </w:tcBorders>
            <w:shd w:val="clear" w:color="auto" w:fill="auto"/>
            <w:vAlign w:val="center"/>
          </w:tcPr>
          <w:p w14:paraId="57120955">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972" w:type="dxa"/>
            <w:tcBorders>
              <w:top w:val="nil"/>
              <w:left w:val="nil"/>
              <w:bottom w:val="single" w:color="auto" w:sz="4" w:space="0"/>
              <w:right w:val="single" w:color="auto" w:sz="4" w:space="0"/>
            </w:tcBorders>
            <w:shd w:val="clear" w:color="auto" w:fill="auto"/>
            <w:vAlign w:val="center"/>
          </w:tcPr>
          <w:p w14:paraId="1FD40586">
            <w:pPr>
              <w:widowControl/>
              <w:jc w:val="left"/>
              <w:rPr>
                <w:rFonts w:ascii="宋体" w:hAnsi="宋体" w:cs="宋体"/>
                <w:color w:val="000000"/>
                <w:kern w:val="0"/>
                <w:sz w:val="20"/>
                <w:szCs w:val="20"/>
              </w:rPr>
            </w:pPr>
            <w:r>
              <w:rPr>
                <w:rFonts w:hint="eastAsia" w:ascii="宋体" w:hAnsi="宋体" w:cs="宋体"/>
                <w:color w:val="000000"/>
                <w:kern w:val="0"/>
                <w:sz w:val="20"/>
                <w:szCs w:val="20"/>
              </w:rPr>
              <w:t>设备利用率</w:t>
            </w:r>
          </w:p>
        </w:tc>
        <w:tc>
          <w:tcPr>
            <w:tcW w:w="995" w:type="dxa"/>
            <w:tcBorders>
              <w:top w:val="nil"/>
              <w:left w:val="nil"/>
              <w:bottom w:val="single" w:color="auto" w:sz="4" w:space="0"/>
              <w:right w:val="single" w:color="auto" w:sz="4" w:space="0"/>
            </w:tcBorders>
            <w:shd w:val="clear" w:color="auto" w:fill="auto"/>
            <w:vAlign w:val="center"/>
          </w:tcPr>
          <w:p w14:paraId="0EC2965B">
            <w:pPr>
              <w:widowControl/>
              <w:jc w:val="left"/>
              <w:rPr>
                <w:rFonts w:ascii="宋体" w:hAnsi="宋体" w:cs="宋体"/>
                <w:color w:val="000000"/>
                <w:kern w:val="0"/>
                <w:sz w:val="20"/>
                <w:szCs w:val="20"/>
              </w:rPr>
            </w:pPr>
            <w:r>
              <w:rPr>
                <w:rFonts w:hint="eastAsia" w:ascii="宋体" w:hAnsi="宋体" w:cs="宋体"/>
                <w:color w:val="000000"/>
                <w:kern w:val="0"/>
                <w:sz w:val="20"/>
                <w:szCs w:val="20"/>
              </w:rPr>
              <w:t>&gt;=90%</w:t>
            </w:r>
          </w:p>
        </w:tc>
        <w:tc>
          <w:tcPr>
            <w:tcW w:w="982" w:type="dxa"/>
            <w:tcBorders>
              <w:top w:val="nil"/>
              <w:left w:val="nil"/>
              <w:bottom w:val="single" w:color="auto" w:sz="4" w:space="0"/>
              <w:right w:val="single" w:color="auto" w:sz="4" w:space="0"/>
            </w:tcBorders>
            <w:shd w:val="clear" w:color="auto" w:fill="auto"/>
            <w:vAlign w:val="center"/>
          </w:tcPr>
          <w:p w14:paraId="5E97925D">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3FFE92A4">
            <w:pPr>
              <w:widowControl/>
              <w:jc w:val="left"/>
              <w:rPr>
                <w:rFonts w:ascii="宋体" w:hAnsi="宋体" w:cs="宋体"/>
                <w:color w:val="000000"/>
                <w:kern w:val="0"/>
                <w:sz w:val="20"/>
                <w:szCs w:val="20"/>
              </w:rPr>
            </w:pPr>
            <w:r>
              <w:rPr>
                <w:rFonts w:hint="eastAsia" w:ascii="宋体" w:hAnsi="宋体" w:cs="宋体"/>
                <w:color w:val="000000"/>
                <w:kern w:val="0"/>
                <w:sz w:val="20"/>
                <w:szCs w:val="20"/>
              </w:rPr>
              <w:t>-</w:t>
            </w:r>
          </w:p>
        </w:tc>
        <w:tc>
          <w:tcPr>
            <w:tcW w:w="749" w:type="dxa"/>
            <w:tcBorders>
              <w:top w:val="nil"/>
              <w:left w:val="nil"/>
              <w:bottom w:val="single" w:color="auto" w:sz="4" w:space="0"/>
              <w:right w:val="single" w:color="auto" w:sz="4" w:space="0"/>
            </w:tcBorders>
            <w:shd w:val="clear" w:color="auto" w:fill="auto"/>
            <w:vAlign w:val="center"/>
          </w:tcPr>
          <w:p w14:paraId="5D527E7D">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710" w:type="dxa"/>
            <w:tcBorders>
              <w:top w:val="nil"/>
              <w:left w:val="nil"/>
              <w:bottom w:val="single" w:color="auto" w:sz="4" w:space="0"/>
              <w:right w:val="single" w:color="auto" w:sz="4" w:space="0"/>
            </w:tcBorders>
            <w:shd w:val="clear" w:color="auto" w:fill="auto"/>
            <w:vAlign w:val="center"/>
          </w:tcPr>
          <w:p w14:paraId="637F7C12">
            <w:pPr>
              <w:widowControl/>
              <w:jc w:val="left"/>
              <w:rPr>
                <w:rFonts w:ascii="宋体" w:hAnsi="宋体" w:cs="宋体"/>
                <w:color w:val="000000"/>
                <w:kern w:val="0"/>
                <w:sz w:val="20"/>
                <w:szCs w:val="20"/>
              </w:rPr>
            </w:pPr>
            <w:r>
              <w:rPr>
                <w:rFonts w:hint="eastAsia" w:ascii="宋体" w:hAnsi="宋体" w:cs="宋体"/>
                <w:color w:val="000000"/>
                <w:kern w:val="0"/>
                <w:sz w:val="20"/>
                <w:szCs w:val="20"/>
              </w:rPr>
              <w:t>按照正常比例赋分</w:t>
            </w:r>
          </w:p>
        </w:tc>
        <w:tc>
          <w:tcPr>
            <w:tcW w:w="691" w:type="dxa"/>
            <w:tcBorders>
              <w:top w:val="nil"/>
              <w:left w:val="nil"/>
              <w:bottom w:val="single" w:color="auto" w:sz="4" w:space="0"/>
              <w:right w:val="single" w:color="auto" w:sz="4" w:space="0"/>
            </w:tcBorders>
            <w:shd w:val="clear" w:color="auto" w:fill="auto"/>
            <w:vAlign w:val="center"/>
          </w:tcPr>
          <w:p w14:paraId="3FE610D2">
            <w:pPr>
              <w:widowControl/>
              <w:jc w:val="left"/>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998" w:type="dxa"/>
            <w:tcBorders>
              <w:top w:val="nil"/>
              <w:left w:val="nil"/>
              <w:bottom w:val="single" w:color="auto" w:sz="4" w:space="0"/>
              <w:right w:val="single" w:color="auto" w:sz="4" w:space="0"/>
            </w:tcBorders>
            <w:shd w:val="clear" w:color="auto" w:fill="auto"/>
            <w:vAlign w:val="center"/>
          </w:tcPr>
          <w:p w14:paraId="66EF6E62">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16" w:type="dxa"/>
            <w:tcBorders>
              <w:top w:val="nil"/>
              <w:left w:val="nil"/>
              <w:bottom w:val="single" w:color="auto" w:sz="4" w:space="0"/>
              <w:right w:val="single" w:color="auto" w:sz="4" w:space="0"/>
            </w:tcBorders>
            <w:shd w:val="clear" w:color="auto" w:fill="auto"/>
            <w:vAlign w:val="center"/>
          </w:tcPr>
          <w:p w14:paraId="53AFE269">
            <w:pPr>
              <w:widowControl/>
              <w:jc w:val="left"/>
              <w:rPr>
                <w:rFonts w:ascii="宋体" w:hAnsi="宋体" w:cs="宋体"/>
                <w:color w:val="000000"/>
                <w:kern w:val="0"/>
                <w:sz w:val="20"/>
                <w:szCs w:val="20"/>
              </w:rPr>
            </w:pPr>
            <w:r>
              <w:rPr>
                <w:rFonts w:hint="eastAsia" w:ascii="宋体" w:hAnsi="宋体" w:cs="宋体"/>
                <w:color w:val="000000"/>
                <w:kern w:val="0"/>
                <w:sz w:val="20"/>
                <w:szCs w:val="20"/>
              </w:rPr>
              <w:t>111.11%</w:t>
            </w:r>
          </w:p>
        </w:tc>
        <w:tc>
          <w:tcPr>
            <w:tcW w:w="680" w:type="dxa"/>
            <w:tcBorders>
              <w:top w:val="nil"/>
              <w:left w:val="nil"/>
              <w:bottom w:val="single" w:color="auto" w:sz="4" w:space="0"/>
              <w:right w:val="single" w:color="auto" w:sz="4" w:space="0"/>
            </w:tcBorders>
            <w:shd w:val="clear" w:color="auto" w:fill="auto"/>
            <w:vAlign w:val="center"/>
          </w:tcPr>
          <w:p w14:paraId="6C445864">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1575" w:type="dxa"/>
            <w:tcBorders>
              <w:top w:val="nil"/>
              <w:left w:val="nil"/>
              <w:bottom w:val="single" w:color="auto" w:sz="4" w:space="0"/>
              <w:right w:val="single" w:color="auto" w:sz="4" w:space="0"/>
            </w:tcBorders>
            <w:shd w:val="clear" w:color="auto" w:fill="auto"/>
            <w:vAlign w:val="center"/>
          </w:tcPr>
          <w:p w14:paraId="29FCF2F4">
            <w:pPr>
              <w:widowControl/>
              <w:jc w:val="center"/>
              <w:rPr>
                <w:rFonts w:ascii="宋体" w:hAnsi="宋体" w:cs="宋体"/>
                <w:color w:val="000000"/>
                <w:kern w:val="0"/>
                <w:sz w:val="18"/>
                <w:szCs w:val="18"/>
              </w:rPr>
            </w:pPr>
            <w:r>
              <w:rPr>
                <w:rFonts w:hint="eastAsia" w:ascii="宋体" w:hAnsi="宋体" w:cs="宋体"/>
                <w:color w:val="000000"/>
                <w:kern w:val="0"/>
                <w:sz w:val="18"/>
                <w:szCs w:val="18"/>
              </w:rPr>
              <w:t>偏差原因：根据实际情况设备利用率100%，改进措施：从严从高设置绩效指标。</w:t>
            </w:r>
          </w:p>
        </w:tc>
      </w:tr>
      <w:tr w14:paraId="304F59FF">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471423CA">
            <w:pPr>
              <w:widowControl/>
              <w:jc w:val="left"/>
              <w:rPr>
                <w:rFonts w:ascii="宋体" w:hAnsi="宋体" w:cs="宋体"/>
                <w:color w:val="000000"/>
                <w:kern w:val="0"/>
                <w:sz w:val="20"/>
                <w:szCs w:val="20"/>
              </w:rPr>
            </w:pPr>
          </w:p>
        </w:tc>
        <w:tc>
          <w:tcPr>
            <w:tcW w:w="982" w:type="dxa"/>
            <w:vMerge w:val="continue"/>
            <w:tcBorders>
              <w:top w:val="nil"/>
              <w:left w:val="single" w:color="auto" w:sz="4" w:space="0"/>
              <w:bottom w:val="single" w:color="auto" w:sz="4" w:space="0"/>
              <w:right w:val="single" w:color="auto" w:sz="4" w:space="0"/>
            </w:tcBorders>
            <w:vAlign w:val="center"/>
          </w:tcPr>
          <w:p w14:paraId="68CC9F64">
            <w:pPr>
              <w:widowControl/>
              <w:jc w:val="left"/>
              <w:rPr>
                <w:rFonts w:ascii="宋体" w:hAnsi="宋体" w:cs="宋体"/>
                <w:color w:val="000000"/>
                <w:kern w:val="0"/>
                <w:sz w:val="20"/>
                <w:szCs w:val="20"/>
              </w:rPr>
            </w:pPr>
          </w:p>
        </w:tc>
        <w:tc>
          <w:tcPr>
            <w:tcW w:w="982" w:type="dxa"/>
            <w:tcBorders>
              <w:top w:val="nil"/>
              <w:left w:val="nil"/>
              <w:bottom w:val="single" w:color="auto" w:sz="4" w:space="0"/>
              <w:right w:val="single" w:color="auto" w:sz="4" w:space="0"/>
            </w:tcBorders>
            <w:shd w:val="clear" w:color="auto" w:fill="auto"/>
            <w:vAlign w:val="center"/>
          </w:tcPr>
          <w:p w14:paraId="5878C519">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972" w:type="dxa"/>
            <w:tcBorders>
              <w:top w:val="nil"/>
              <w:left w:val="nil"/>
              <w:bottom w:val="single" w:color="auto" w:sz="4" w:space="0"/>
              <w:right w:val="single" w:color="auto" w:sz="4" w:space="0"/>
            </w:tcBorders>
            <w:shd w:val="clear" w:color="auto" w:fill="auto"/>
            <w:vAlign w:val="center"/>
          </w:tcPr>
          <w:p w14:paraId="001873AD">
            <w:pPr>
              <w:widowControl/>
              <w:jc w:val="left"/>
              <w:rPr>
                <w:rFonts w:ascii="宋体" w:hAnsi="宋体" w:cs="宋体"/>
                <w:color w:val="000000"/>
                <w:kern w:val="0"/>
                <w:sz w:val="20"/>
                <w:szCs w:val="20"/>
              </w:rPr>
            </w:pPr>
            <w:r>
              <w:rPr>
                <w:rFonts w:hint="eastAsia" w:ascii="宋体" w:hAnsi="宋体" w:cs="宋体"/>
                <w:color w:val="000000"/>
                <w:kern w:val="0"/>
                <w:sz w:val="20"/>
                <w:szCs w:val="20"/>
              </w:rPr>
              <w:t>提高残疾人康复服务水平</w:t>
            </w:r>
          </w:p>
        </w:tc>
        <w:tc>
          <w:tcPr>
            <w:tcW w:w="995" w:type="dxa"/>
            <w:tcBorders>
              <w:top w:val="nil"/>
              <w:left w:val="nil"/>
              <w:bottom w:val="single" w:color="auto" w:sz="4" w:space="0"/>
              <w:right w:val="single" w:color="auto" w:sz="4" w:space="0"/>
            </w:tcBorders>
            <w:shd w:val="clear" w:color="auto" w:fill="auto"/>
            <w:vAlign w:val="center"/>
          </w:tcPr>
          <w:p w14:paraId="27451FE9">
            <w:pPr>
              <w:widowControl/>
              <w:jc w:val="left"/>
              <w:rPr>
                <w:rFonts w:ascii="宋体" w:hAnsi="宋体" w:cs="宋体"/>
                <w:color w:val="000000"/>
                <w:kern w:val="0"/>
                <w:sz w:val="20"/>
                <w:szCs w:val="20"/>
              </w:rPr>
            </w:pPr>
            <w:r>
              <w:rPr>
                <w:rFonts w:hint="eastAsia" w:ascii="宋体" w:hAnsi="宋体" w:cs="宋体"/>
                <w:color w:val="000000"/>
                <w:kern w:val="0"/>
                <w:sz w:val="20"/>
                <w:szCs w:val="20"/>
              </w:rPr>
              <w:t>有所提高</w:t>
            </w:r>
          </w:p>
        </w:tc>
        <w:tc>
          <w:tcPr>
            <w:tcW w:w="982" w:type="dxa"/>
            <w:tcBorders>
              <w:top w:val="nil"/>
              <w:left w:val="nil"/>
              <w:bottom w:val="single" w:color="auto" w:sz="4" w:space="0"/>
              <w:right w:val="single" w:color="auto" w:sz="4" w:space="0"/>
            </w:tcBorders>
            <w:shd w:val="clear" w:color="auto" w:fill="auto"/>
            <w:vAlign w:val="center"/>
          </w:tcPr>
          <w:p w14:paraId="0E418076">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2B04E0F4">
            <w:pPr>
              <w:widowControl/>
              <w:jc w:val="left"/>
              <w:rPr>
                <w:rFonts w:ascii="宋体" w:hAnsi="宋体" w:cs="宋体"/>
                <w:color w:val="000000"/>
                <w:kern w:val="0"/>
                <w:sz w:val="20"/>
                <w:szCs w:val="20"/>
              </w:rPr>
            </w:pPr>
            <w:r>
              <w:rPr>
                <w:rFonts w:hint="eastAsia" w:ascii="宋体" w:hAnsi="宋体" w:cs="宋体"/>
                <w:color w:val="000000"/>
                <w:kern w:val="0"/>
                <w:sz w:val="20"/>
                <w:szCs w:val="20"/>
              </w:rPr>
              <w:t>显著提高</w:t>
            </w:r>
          </w:p>
        </w:tc>
        <w:tc>
          <w:tcPr>
            <w:tcW w:w="749" w:type="dxa"/>
            <w:tcBorders>
              <w:top w:val="nil"/>
              <w:left w:val="nil"/>
              <w:bottom w:val="single" w:color="auto" w:sz="4" w:space="0"/>
              <w:right w:val="single" w:color="auto" w:sz="4" w:space="0"/>
            </w:tcBorders>
            <w:shd w:val="clear" w:color="auto" w:fill="auto"/>
            <w:vAlign w:val="center"/>
          </w:tcPr>
          <w:p w14:paraId="0F4118A9">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710" w:type="dxa"/>
            <w:tcBorders>
              <w:top w:val="nil"/>
              <w:left w:val="nil"/>
              <w:bottom w:val="single" w:color="auto" w:sz="4" w:space="0"/>
              <w:right w:val="single" w:color="auto" w:sz="4" w:space="0"/>
            </w:tcBorders>
            <w:shd w:val="clear" w:color="auto" w:fill="auto"/>
            <w:vAlign w:val="center"/>
          </w:tcPr>
          <w:p w14:paraId="30DED9E7">
            <w:pPr>
              <w:widowControl/>
              <w:jc w:val="left"/>
              <w:rPr>
                <w:rFonts w:ascii="宋体" w:hAnsi="宋体" w:cs="宋体"/>
                <w:color w:val="000000"/>
                <w:kern w:val="0"/>
                <w:sz w:val="20"/>
                <w:szCs w:val="20"/>
              </w:rPr>
            </w:pPr>
            <w:r>
              <w:rPr>
                <w:rFonts w:hint="eastAsia" w:ascii="宋体" w:hAnsi="宋体" w:cs="宋体"/>
                <w:color w:val="000000"/>
                <w:kern w:val="0"/>
                <w:sz w:val="20"/>
                <w:szCs w:val="20"/>
              </w:rPr>
              <w:t>按评判等级赋分</w:t>
            </w:r>
          </w:p>
        </w:tc>
        <w:tc>
          <w:tcPr>
            <w:tcW w:w="691" w:type="dxa"/>
            <w:tcBorders>
              <w:top w:val="nil"/>
              <w:left w:val="nil"/>
              <w:bottom w:val="single" w:color="auto" w:sz="4" w:space="0"/>
              <w:right w:val="single" w:color="auto" w:sz="4" w:space="0"/>
            </w:tcBorders>
            <w:shd w:val="clear" w:color="auto" w:fill="auto"/>
            <w:vAlign w:val="center"/>
          </w:tcPr>
          <w:p w14:paraId="40EDE4A7">
            <w:pPr>
              <w:widowControl/>
              <w:jc w:val="left"/>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998" w:type="dxa"/>
            <w:tcBorders>
              <w:top w:val="nil"/>
              <w:left w:val="nil"/>
              <w:bottom w:val="single" w:color="auto" w:sz="4" w:space="0"/>
              <w:right w:val="single" w:color="auto" w:sz="4" w:space="0"/>
            </w:tcBorders>
            <w:shd w:val="clear" w:color="auto" w:fill="auto"/>
            <w:vAlign w:val="center"/>
          </w:tcPr>
          <w:p w14:paraId="6D359840">
            <w:pPr>
              <w:widowControl/>
              <w:jc w:val="center"/>
              <w:rPr>
                <w:rFonts w:ascii="宋体" w:hAnsi="宋体" w:cs="宋体"/>
                <w:color w:val="000000"/>
                <w:kern w:val="0"/>
                <w:sz w:val="18"/>
                <w:szCs w:val="18"/>
              </w:rPr>
            </w:pPr>
            <w:r>
              <w:rPr>
                <w:rFonts w:hint="eastAsia" w:ascii="宋体" w:hAnsi="宋体" w:cs="宋体"/>
                <w:color w:val="000000"/>
                <w:kern w:val="0"/>
                <w:sz w:val="18"/>
                <w:szCs w:val="18"/>
              </w:rPr>
              <w:t>有所提高</w:t>
            </w:r>
          </w:p>
        </w:tc>
        <w:tc>
          <w:tcPr>
            <w:tcW w:w="916" w:type="dxa"/>
            <w:tcBorders>
              <w:top w:val="nil"/>
              <w:left w:val="nil"/>
              <w:bottom w:val="single" w:color="auto" w:sz="4" w:space="0"/>
              <w:right w:val="single" w:color="auto" w:sz="4" w:space="0"/>
            </w:tcBorders>
            <w:shd w:val="clear" w:color="auto" w:fill="auto"/>
            <w:vAlign w:val="center"/>
          </w:tcPr>
          <w:p w14:paraId="78A6BD08">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7EAB747C">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1575" w:type="dxa"/>
            <w:tcBorders>
              <w:top w:val="nil"/>
              <w:left w:val="nil"/>
              <w:bottom w:val="single" w:color="auto" w:sz="4" w:space="0"/>
              <w:right w:val="single" w:color="auto" w:sz="4" w:space="0"/>
            </w:tcBorders>
            <w:shd w:val="clear" w:color="auto" w:fill="auto"/>
            <w:vAlign w:val="center"/>
          </w:tcPr>
          <w:p w14:paraId="330C06CE">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14:paraId="08DE835B">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4EC0CD76">
            <w:pPr>
              <w:widowControl/>
              <w:jc w:val="left"/>
              <w:rPr>
                <w:rFonts w:ascii="宋体" w:hAnsi="宋体" w:cs="宋体"/>
                <w:color w:val="000000"/>
                <w:kern w:val="0"/>
                <w:sz w:val="20"/>
                <w:szCs w:val="20"/>
              </w:rPr>
            </w:pPr>
          </w:p>
        </w:tc>
        <w:tc>
          <w:tcPr>
            <w:tcW w:w="982" w:type="dxa"/>
            <w:vMerge w:val="continue"/>
            <w:tcBorders>
              <w:top w:val="nil"/>
              <w:left w:val="single" w:color="auto" w:sz="4" w:space="0"/>
              <w:bottom w:val="single" w:color="auto" w:sz="4" w:space="0"/>
              <w:right w:val="single" w:color="auto" w:sz="4" w:space="0"/>
            </w:tcBorders>
            <w:vAlign w:val="center"/>
          </w:tcPr>
          <w:p w14:paraId="06CE154A">
            <w:pPr>
              <w:widowControl/>
              <w:jc w:val="left"/>
              <w:rPr>
                <w:rFonts w:ascii="宋体" w:hAnsi="宋体" w:cs="宋体"/>
                <w:color w:val="000000"/>
                <w:kern w:val="0"/>
                <w:sz w:val="20"/>
                <w:szCs w:val="20"/>
              </w:rPr>
            </w:pPr>
          </w:p>
        </w:tc>
        <w:tc>
          <w:tcPr>
            <w:tcW w:w="982" w:type="dxa"/>
            <w:tcBorders>
              <w:top w:val="nil"/>
              <w:left w:val="nil"/>
              <w:bottom w:val="single" w:color="auto" w:sz="4" w:space="0"/>
              <w:right w:val="single" w:color="auto" w:sz="4" w:space="0"/>
            </w:tcBorders>
            <w:shd w:val="clear" w:color="auto" w:fill="auto"/>
            <w:vAlign w:val="center"/>
          </w:tcPr>
          <w:p w14:paraId="2AAE11F3">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972" w:type="dxa"/>
            <w:tcBorders>
              <w:top w:val="nil"/>
              <w:left w:val="nil"/>
              <w:bottom w:val="single" w:color="auto" w:sz="4" w:space="0"/>
              <w:right w:val="single" w:color="auto" w:sz="4" w:space="0"/>
            </w:tcBorders>
            <w:shd w:val="clear" w:color="auto" w:fill="auto"/>
            <w:vAlign w:val="center"/>
          </w:tcPr>
          <w:p w14:paraId="52FA23D7">
            <w:pPr>
              <w:widowControl/>
              <w:jc w:val="left"/>
              <w:rPr>
                <w:rFonts w:ascii="宋体" w:hAnsi="宋体" w:cs="宋体"/>
                <w:color w:val="000000"/>
                <w:kern w:val="0"/>
                <w:sz w:val="20"/>
                <w:szCs w:val="20"/>
              </w:rPr>
            </w:pPr>
            <w:r>
              <w:rPr>
                <w:rFonts w:hint="eastAsia" w:ascii="宋体" w:hAnsi="宋体" w:cs="宋体"/>
                <w:color w:val="000000"/>
                <w:kern w:val="0"/>
                <w:sz w:val="20"/>
                <w:szCs w:val="20"/>
              </w:rPr>
              <w:t>保障残疾人生活水平</w:t>
            </w:r>
          </w:p>
        </w:tc>
        <w:tc>
          <w:tcPr>
            <w:tcW w:w="995" w:type="dxa"/>
            <w:tcBorders>
              <w:top w:val="nil"/>
              <w:left w:val="nil"/>
              <w:bottom w:val="single" w:color="auto" w:sz="4" w:space="0"/>
              <w:right w:val="single" w:color="auto" w:sz="4" w:space="0"/>
            </w:tcBorders>
            <w:shd w:val="clear" w:color="auto" w:fill="auto"/>
            <w:vAlign w:val="center"/>
          </w:tcPr>
          <w:p w14:paraId="0D514D60">
            <w:pPr>
              <w:widowControl/>
              <w:jc w:val="left"/>
              <w:rPr>
                <w:rFonts w:ascii="宋体" w:hAnsi="宋体" w:cs="宋体"/>
                <w:color w:val="000000"/>
                <w:kern w:val="0"/>
                <w:sz w:val="20"/>
                <w:szCs w:val="20"/>
              </w:rPr>
            </w:pPr>
            <w:r>
              <w:rPr>
                <w:rFonts w:hint="eastAsia" w:ascii="宋体" w:hAnsi="宋体" w:cs="宋体"/>
                <w:color w:val="000000"/>
                <w:kern w:val="0"/>
                <w:sz w:val="20"/>
                <w:szCs w:val="20"/>
              </w:rPr>
              <w:t>有所保障</w:t>
            </w:r>
          </w:p>
        </w:tc>
        <w:tc>
          <w:tcPr>
            <w:tcW w:w="982" w:type="dxa"/>
            <w:tcBorders>
              <w:top w:val="nil"/>
              <w:left w:val="nil"/>
              <w:bottom w:val="single" w:color="auto" w:sz="4" w:space="0"/>
              <w:right w:val="single" w:color="auto" w:sz="4" w:space="0"/>
            </w:tcBorders>
            <w:shd w:val="clear" w:color="auto" w:fill="auto"/>
            <w:vAlign w:val="center"/>
          </w:tcPr>
          <w:p w14:paraId="27A2365E">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56124FF5">
            <w:pPr>
              <w:widowControl/>
              <w:jc w:val="left"/>
              <w:rPr>
                <w:rFonts w:ascii="宋体" w:hAnsi="宋体" w:cs="宋体"/>
                <w:color w:val="000000"/>
                <w:kern w:val="0"/>
                <w:sz w:val="20"/>
                <w:szCs w:val="20"/>
              </w:rPr>
            </w:pPr>
            <w:r>
              <w:rPr>
                <w:rFonts w:hint="eastAsia" w:ascii="宋体" w:hAnsi="宋体" w:cs="宋体"/>
                <w:color w:val="000000"/>
                <w:kern w:val="0"/>
                <w:sz w:val="20"/>
                <w:szCs w:val="20"/>
              </w:rPr>
              <w:t>有所保障</w:t>
            </w:r>
          </w:p>
        </w:tc>
        <w:tc>
          <w:tcPr>
            <w:tcW w:w="749" w:type="dxa"/>
            <w:tcBorders>
              <w:top w:val="nil"/>
              <w:left w:val="nil"/>
              <w:bottom w:val="single" w:color="auto" w:sz="4" w:space="0"/>
              <w:right w:val="single" w:color="auto" w:sz="4" w:space="0"/>
            </w:tcBorders>
            <w:shd w:val="clear" w:color="auto" w:fill="auto"/>
            <w:vAlign w:val="center"/>
          </w:tcPr>
          <w:p w14:paraId="0BFCC799">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710" w:type="dxa"/>
            <w:tcBorders>
              <w:top w:val="nil"/>
              <w:left w:val="nil"/>
              <w:bottom w:val="single" w:color="auto" w:sz="4" w:space="0"/>
              <w:right w:val="single" w:color="auto" w:sz="4" w:space="0"/>
            </w:tcBorders>
            <w:shd w:val="clear" w:color="auto" w:fill="auto"/>
            <w:vAlign w:val="center"/>
          </w:tcPr>
          <w:p w14:paraId="031BF004">
            <w:pPr>
              <w:widowControl/>
              <w:jc w:val="left"/>
              <w:rPr>
                <w:rFonts w:ascii="宋体" w:hAnsi="宋体" w:cs="宋体"/>
                <w:color w:val="000000"/>
                <w:kern w:val="0"/>
                <w:sz w:val="20"/>
                <w:szCs w:val="20"/>
              </w:rPr>
            </w:pPr>
            <w:r>
              <w:rPr>
                <w:rFonts w:hint="eastAsia" w:ascii="宋体" w:hAnsi="宋体" w:cs="宋体"/>
                <w:color w:val="000000"/>
                <w:kern w:val="0"/>
                <w:sz w:val="20"/>
                <w:szCs w:val="20"/>
              </w:rPr>
              <w:t>按评判等级赋分</w:t>
            </w:r>
          </w:p>
        </w:tc>
        <w:tc>
          <w:tcPr>
            <w:tcW w:w="691" w:type="dxa"/>
            <w:tcBorders>
              <w:top w:val="nil"/>
              <w:left w:val="nil"/>
              <w:bottom w:val="single" w:color="auto" w:sz="4" w:space="0"/>
              <w:right w:val="single" w:color="auto" w:sz="4" w:space="0"/>
            </w:tcBorders>
            <w:shd w:val="clear" w:color="auto" w:fill="auto"/>
            <w:vAlign w:val="center"/>
          </w:tcPr>
          <w:p w14:paraId="6481497E">
            <w:pPr>
              <w:widowControl/>
              <w:jc w:val="left"/>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998" w:type="dxa"/>
            <w:tcBorders>
              <w:top w:val="nil"/>
              <w:left w:val="nil"/>
              <w:bottom w:val="single" w:color="auto" w:sz="4" w:space="0"/>
              <w:right w:val="single" w:color="auto" w:sz="4" w:space="0"/>
            </w:tcBorders>
            <w:shd w:val="clear" w:color="auto" w:fill="auto"/>
            <w:vAlign w:val="center"/>
          </w:tcPr>
          <w:p w14:paraId="4D0C3D22">
            <w:pPr>
              <w:widowControl/>
              <w:jc w:val="center"/>
              <w:rPr>
                <w:rFonts w:ascii="宋体" w:hAnsi="宋体" w:cs="宋体"/>
                <w:color w:val="000000"/>
                <w:kern w:val="0"/>
                <w:sz w:val="18"/>
                <w:szCs w:val="18"/>
              </w:rPr>
            </w:pPr>
            <w:r>
              <w:rPr>
                <w:rFonts w:hint="eastAsia" w:ascii="宋体" w:hAnsi="宋体" w:cs="宋体"/>
                <w:color w:val="000000"/>
                <w:kern w:val="0"/>
                <w:sz w:val="18"/>
                <w:szCs w:val="18"/>
              </w:rPr>
              <w:t>有所保障</w:t>
            </w:r>
          </w:p>
        </w:tc>
        <w:tc>
          <w:tcPr>
            <w:tcW w:w="916" w:type="dxa"/>
            <w:tcBorders>
              <w:top w:val="nil"/>
              <w:left w:val="nil"/>
              <w:bottom w:val="single" w:color="auto" w:sz="4" w:space="0"/>
              <w:right w:val="single" w:color="auto" w:sz="4" w:space="0"/>
            </w:tcBorders>
            <w:shd w:val="clear" w:color="auto" w:fill="auto"/>
            <w:vAlign w:val="center"/>
          </w:tcPr>
          <w:p w14:paraId="69AA9996">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5BE6B20C">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1575" w:type="dxa"/>
            <w:tcBorders>
              <w:top w:val="nil"/>
              <w:left w:val="nil"/>
              <w:bottom w:val="single" w:color="auto" w:sz="4" w:space="0"/>
              <w:right w:val="single" w:color="auto" w:sz="4" w:space="0"/>
            </w:tcBorders>
            <w:shd w:val="clear" w:color="auto" w:fill="auto"/>
            <w:vAlign w:val="center"/>
          </w:tcPr>
          <w:p w14:paraId="76A59E81">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14:paraId="1144D0A9">
        <w:tblPrEx>
          <w:tblCellMar>
            <w:top w:w="0" w:type="dxa"/>
            <w:left w:w="108" w:type="dxa"/>
            <w:bottom w:w="0" w:type="dxa"/>
            <w:right w:w="108" w:type="dxa"/>
          </w:tblCellMar>
        </w:tblPrEx>
        <w:trPr>
          <w:trHeight w:val="600" w:hRule="atLeast"/>
        </w:trPr>
        <w:tc>
          <w:tcPr>
            <w:tcW w:w="983" w:type="dxa"/>
            <w:vMerge w:val="continue"/>
            <w:tcBorders>
              <w:top w:val="nil"/>
              <w:left w:val="single" w:color="auto" w:sz="4" w:space="0"/>
              <w:bottom w:val="single" w:color="auto" w:sz="4" w:space="0"/>
              <w:right w:val="single" w:color="auto" w:sz="4" w:space="0"/>
            </w:tcBorders>
            <w:vAlign w:val="center"/>
          </w:tcPr>
          <w:p w14:paraId="4E355912">
            <w:pPr>
              <w:widowControl/>
              <w:jc w:val="left"/>
              <w:rPr>
                <w:rFonts w:ascii="宋体" w:hAnsi="宋体" w:cs="宋体"/>
                <w:color w:val="000000"/>
                <w:kern w:val="0"/>
                <w:sz w:val="20"/>
                <w:szCs w:val="20"/>
              </w:rPr>
            </w:pPr>
          </w:p>
        </w:tc>
        <w:tc>
          <w:tcPr>
            <w:tcW w:w="982" w:type="dxa"/>
            <w:tcBorders>
              <w:top w:val="nil"/>
              <w:left w:val="nil"/>
              <w:bottom w:val="single" w:color="auto" w:sz="4" w:space="0"/>
              <w:right w:val="single" w:color="auto" w:sz="4" w:space="0"/>
            </w:tcBorders>
            <w:shd w:val="clear" w:color="auto" w:fill="auto"/>
            <w:vAlign w:val="center"/>
          </w:tcPr>
          <w:p w14:paraId="4372ADD1">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982" w:type="dxa"/>
            <w:tcBorders>
              <w:top w:val="nil"/>
              <w:left w:val="nil"/>
              <w:bottom w:val="single" w:color="auto" w:sz="4" w:space="0"/>
              <w:right w:val="single" w:color="auto" w:sz="4" w:space="0"/>
            </w:tcBorders>
            <w:shd w:val="clear" w:color="auto" w:fill="auto"/>
            <w:vAlign w:val="center"/>
          </w:tcPr>
          <w:p w14:paraId="6AF2ADF3">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972" w:type="dxa"/>
            <w:tcBorders>
              <w:top w:val="nil"/>
              <w:left w:val="nil"/>
              <w:bottom w:val="single" w:color="auto" w:sz="4" w:space="0"/>
              <w:right w:val="single" w:color="auto" w:sz="4" w:space="0"/>
            </w:tcBorders>
            <w:shd w:val="clear" w:color="auto" w:fill="auto"/>
            <w:vAlign w:val="center"/>
          </w:tcPr>
          <w:p w14:paraId="32679662">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残疾人及其家属对残疾人服务的满意度</w:t>
            </w:r>
          </w:p>
        </w:tc>
        <w:tc>
          <w:tcPr>
            <w:tcW w:w="995" w:type="dxa"/>
            <w:tcBorders>
              <w:top w:val="nil"/>
              <w:left w:val="nil"/>
              <w:bottom w:val="single" w:color="auto" w:sz="4" w:space="0"/>
              <w:right w:val="single" w:color="auto" w:sz="4" w:space="0"/>
            </w:tcBorders>
            <w:shd w:val="clear" w:color="auto" w:fill="auto"/>
            <w:vAlign w:val="center"/>
          </w:tcPr>
          <w:p w14:paraId="2792D21E">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982" w:type="dxa"/>
            <w:tcBorders>
              <w:top w:val="nil"/>
              <w:left w:val="nil"/>
              <w:bottom w:val="single" w:color="auto" w:sz="4" w:space="0"/>
              <w:right w:val="single" w:color="auto" w:sz="4" w:space="0"/>
            </w:tcBorders>
            <w:shd w:val="clear" w:color="auto" w:fill="auto"/>
            <w:vAlign w:val="center"/>
          </w:tcPr>
          <w:p w14:paraId="5F074D84">
            <w:pPr>
              <w:widowControl/>
              <w:jc w:val="left"/>
              <w:rPr>
                <w:rFonts w:ascii="宋体" w:hAnsi="宋体" w:cs="宋体"/>
                <w:color w:val="000000"/>
                <w:kern w:val="0"/>
                <w:sz w:val="20"/>
                <w:szCs w:val="20"/>
              </w:rPr>
            </w:pPr>
            <w:r>
              <w:rPr>
                <w:rFonts w:hint="eastAsia" w:ascii="宋体" w:hAnsi="宋体" w:cs="宋体"/>
                <w:color w:val="000000"/>
                <w:kern w:val="0"/>
                <w:sz w:val="20"/>
                <w:szCs w:val="20"/>
              </w:rPr>
              <w:t>计划标准</w:t>
            </w:r>
          </w:p>
        </w:tc>
        <w:tc>
          <w:tcPr>
            <w:tcW w:w="985" w:type="dxa"/>
            <w:tcBorders>
              <w:top w:val="nil"/>
              <w:left w:val="nil"/>
              <w:bottom w:val="single" w:color="auto" w:sz="4" w:space="0"/>
              <w:right w:val="single" w:color="auto" w:sz="4" w:space="0"/>
            </w:tcBorders>
            <w:shd w:val="clear" w:color="auto" w:fill="auto"/>
            <w:vAlign w:val="center"/>
          </w:tcPr>
          <w:p w14:paraId="6E2EA439">
            <w:pPr>
              <w:widowControl/>
              <w:jc w:val="left"/>
              <w:rPr>
                <w:rFonts w:ascii="宋体" w:hAnsi="宋体" w:cs="宋体"/>
                <w:color w:val="000000"/>
                <w:kern w:val="0"/>
                <w:sz w:val="20"/>
                <w:szCs w:val="20"/>
              </w:rPr>
            </w:pPr>
            <w:r>
              <w:rPr>
                <w:rFonts w:hint="eastAsia" w:ascii="宋体" w:hAnsi="宋体" w:cs="宋体"/>
                <w:color w:val="000000"/>
                <w:kern w:val="0"/>
                <w:sz w:val="20"/>
                <w:szCs w:val="20"/>
              </w:rPr>
              <w:t>90%</w:t>
            </w:r>
          </w:p>
        </w:tc>
        <w:tc>
          <w:tcPr>
            <w:tcW w:w="749" w:type="dxa"/>
            <w:tcBorders>
              <w:top w:val="nil"/>
              <w:left w:val="nil"/>
              <w:bottom w:val="single" w:color="auto" w:sz="4" w:space="0"/>
              <w:right w:val="single" w:color="auto" w:sz="4" w:space="0"/>
            </w:tcBorders>
            <w:shd w:val="clear" w:color="auto" w:fill="auto"/>
            <w:vAlign w:val="center"/>
          </w:tcPr>
          <w:p w14:paraId="32CE1576">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10" w:type="dxa"/>
            <w:tcBorders>
              <w:top w:val="nil"/>
              <w:left w:val="nil"/>
              <w:bottom w:val="single" w:color="auto" w:sz="4" w:space="0"/>
              <w:right w:val="single" w:color="auto" w:sz="4" w:space="0"/>
            </w:tcBorders>
            <w:shd w:val="clear" w:color="auto" w:fill="auto"/>
            <w:vAlign w:val="center"/>
          </w:tcPr>
          <w:p w14:paraId="644CAA11">
            <w:pPr>
              <w:widowControl/>
              <w:jc w:val="left"/>
              <w:rPr>
                <w:rFonts w:ascii="宋体" w:hAnsi="宋体" w:cs="宋体"/>
                <w:color w:val="000000"/>
                <w:kern w:val="0"/>
                <w:sz w:val="20"/>
                <w:szCs w:val="20"/>
              </w:rPr>
            </w:pPr>
            <w:r>
              <w:rPr>
                <w:rFonts w:hint="eastAsia" w:ascii="宋体" w:hAnsi="宋体" w:cs="宋体"/>
                <w:color w:val="000000"/>
                <w:kern w:val="0"/>
                <w:sz w:val="20"/>
                <w:szCs w:val="20"/>
              </w:rPr>
              <w:t>满意度赋分</w:t>
            </w:r>
          </w:p>
        </w:tc>
        <w:tc>
          <w:tcPr>
            <w:tcW w:w="691" w:type="dxa"/>
            <w:tcBorders>
              <w:top w:val="nil"/>
              <w:left w:val="nil"/>
              <w:bottom w:val="single" w:color="auto" w:sz="4" w:space="0"/>
              <w:right w:val="single" w:color="auto" w:sz="4" w:space="0"/>
            </w:tcBorders>
            <w:shd w:val="clear" w:color="auto" w:fill="auto"/>
            <w:vAlign w:val="center"/>
          </w:tcPr>
          <w:p w14:paraId="22160C3B">
            <w:pPr>
              <w:widowControl/>
              <w:jc w:val="left"/>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998" w:type="dxa"/>
            <w:tcBorders>
              <w:top w:val="nil"/>
              <w:left w:val="nil"/>
              <w:bottom w:val="single" w:color="auto" w:sz="4" w:space="0"/>
              <w:right w:val="single" w:color="auto" w:sz="4" w:space="0"/>
            </w:tcBorders>
            <w:shd w:val="clear" w:color="auto" w:fill="auto"/>
            <w:vAlign w:val="center"/>
          </w:tcPr>
          <w:p w14:paraId="5846906C">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16" w:type="dxa"/>
            <w:tcBorders>
              <w:top w:val="nil"/>
              <w:left w:val="nil"/>
              <w:bottom w:val="single" w:color="auto" w:sz="4" w:space="0"/>
              <w:right w:val="single" w:color="auto" w:sz="4" w:space="0"/>
            </w:tcBorders>
            <w:shd w:val="clear" w:color="auto" w:fill="auto"/>
            <w:vAlign w:val="center"/>
          </w:tcPr>
          <w:p w14:paraId="090BBB29">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21E9D350">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575" w:type="dxa"/>
            <w:tcBorders>
              <w:top w:val="nil"/>
              <w:left w:val="nil"/>
              <w:bottom w:val="single" w:color="auto" w:sz="4" w:space="0"/>
              <w:right w:val="single" w:color="auto" w:sz="4" w:space="0"/>
            </w:tcBorders>
            <w:shd w:val="clear" w:color="auto" w:fill="auto"/>
            <w:vAlign w:val="center"/>
          </w:tcPr>
          <w:p w14:paraId="0D5314B7">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14:paraId="5A2903E4">
        <w:tblPrEx>
          <w:tblCellMar>
            <w:top w:w="0" w:type="dxa"/>
            <w:left w:w="108" w:type="dxa"/>
            <w:bottom w:w="0" w:type="dxa"/>
            <w:right w:w="108" w:type="dxa"/>
          </w:tblCellMar>
        </w:tblPrEx>
        <w:trPr>
          <w:trHeight w:val="500" w:hRule="atLeast"/>
        </w:trPr>
        <w:tc>
          <w:tcPr>
            <w:tcW w:w="491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713922F">
            <w:pPr>
              <w:widowControl/>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995" w:type="dxa"/>
            <w:tcBorders>
              <w:top w:val="nil"/>
              <w:left w:val="nil"/>
              <w:bottom w:val="single" w:color="auto" w:sz="4" w:space="0"/>
              <w:right w:val="single" w:color="auto" w:sz="4" w:space="0"/>
            </w:tcBorders>
            <w:shd w:val="clear" w:color="auto" w:fill="auto"/>
            <w:vAlign w:val="center"/>
          </w:tcPr>
          <w:p w14:paraId="3448259F">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982" w:type="dxa"/>
            <w:tcBorders>
              <w:top w:val="nil"/>
              <w:left w:val="nil"/>
              <w:bottom w:val="single" w:color="auto" w:sz="4" w:space="0"/>
              <w:right w:val="single" w:color="auto" w:sz="4" w:space="0"/>
            </w:tcBorders>
            <w:shd w:val="clear" w:color="auto" w:fill="auto"/>
            <w:vAlign w:val="center"/>
          </w:tcPr>
          <w:p w14:paraId="26E58674">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　</w:t>
            </w:r>
          </w:p>
        </w:tc>
        <w:tc>
          <w:tcPr>
            <w:tcW w:w="985" w:type="dxa"/>
            <w:tcBorders>
              <w:top w:val="nil"/>
              <w:left w:val="nil"/>
              <w:bottom w:val="single" w:color="auto" w:sz="4" w:space="0"/>
              <w:right w:val="single" w:color="auto" w:sz="4" w:space="0"/>
            </w:tcBorders>
            <w:shd w:val="clear" w:color="auto" w:fill="auto"/>
            <w:vAlign w:val="center"/>
          </w:tcPr>
          <w:p w14:paraId="2E7986A8">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749" w:type="dxa"/>
            <w:tcBorders>
              <w:top w:val="nil"/>
              <w:left w:val="nil"/>
              <w:bottom w:val="single" w:color="auto" w:sz="4" w:space="0"/>
              <w:right w:val="single" w:color="auto" w:sz="4" w:space="0"/>
            </w:tcBorders>
            <w:shd w:val="clear" w:color="auto" w:fill="auto"/>
            <w:vAlign w:val="center"/>
          </w:tcPr>
          <w:p w14:paraId="0DC1C0CD">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710" w:type="dxa"/>
            <w:tcBorders>
              <w:top w:val="nil"/>
              <w:left w:val="nil"/>
              <w:bottom w:val="single" w:color="auto" w:sz="4" w:space="0"/>
              <w:right w:val="single" w:color="auto" w:sz="4" w:space="0"/>
            </w:tcBorders>
            <w:shd w:val="clear" w:color="auto" w:fill="auto"/>
            <w:vAlign w:val="center"/>
          </w:tcPr>
          <w:p w14:paraId="674EF368">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91" w:type="dxa"/>
            <w:tcBorders>
              <w:top w:val="nil"/>
              <w:left w:val="nil"/>
              <w:bottom w:val="single" w:color="auto" w:sz="4" w:space="0"/>
              <w:right w:val="single" w:color="auto" w:sz="4" w:space="0"/>
            </w:tcBorders>
            <w:shd w:val="clear" w:color="auto" w:fill="auto"/>
            <w:vAlign w:val="center"/>
          </w:tcPr>
          <w:p w14:paraId="733142B2">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998" w:type="dxa"/>
            <w:tcBorders>
              <w:top w:val="nil"/>
              <w:left w:val="nil"/>
              <w:bottom w:val="single" w:color="auto" w:sz="4" w:space="0"/>
              <w:right w:val="single" w:color="auto" w:sz="4" w:space="0"/>
            </w:tcBorders>
            <w:shd w:val="clear" w:color="auto" w:fill="auto"/>
            <w:vAlign w:val="center"/>
          </w:tcPr>
          <w:p w14:paraId="7D94E37C">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916" w:type="dxa"/>
            <w:tcBorders>
              <w:top w:val="nil"/>
              <w:left w:val="nil"/>
              <w:bottom w:val="single" w:color="auto" w:sz="4" w:space="0"/>
              <w:right w:val="single" w:color="auto" w:sz="4" w:space="0"/>
            </w:tcBorders>
            <w:shd w:val="clear" w:color="auto" w:fill="auto"/>
            <w:vAlign w:val="center"/>
          </w:tcPr>
          <w:p w14:paraId="472C0587">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680" w:type="dxa"/>
            <w:tcBorders>
              <w:top w:val="nil"/>
              <w:left w:val="nil"/>
              <w:bottom w:val="single" w:color="auto" w:sz="4" w:space="0"/>
              <w:right w:val="single" w:color="auto" w:sz="4" w:space="0"/>
            </w:tcBorders>
            <w:shd w:val="clear" w:color="auto" w:fill="auto"/>
            <w:vAlign w:val="center"/>
          </w:tcPr>
          <w:p w14:paraId="7DEBC5DD">
            <w:pPr>
              <w:widowControl/>
              <w:jc w:val="center"/>
              <w:rPr>
                <w:rFonts w:ascii="宋体" w:hAnsi="宋体" w:cs="宋体"/>
                <w:color w:val="000000"/>
                <w:kern w:val="0"/>
                <w:sz w:val="18"/>
                <w:szCs w:val="18"/>
              </w:rPr>
            </w:pPr>
            <w:r>
              <w:rPr>
                <w:rFonts w:hint="eastAsia" w:ascii="宋体" w:hAnsi="宋体" w:cs="宋体"/>
                <w:color w:val="000000"/>
                <w:kern w:val="0"/>
                <w:sz w:val="18"/>
                <w:szCs w:val="18"/>
              </w:rPr>
              <w:t>88.09分</w:t>
            </w:r>
          </w:p>
        </w:tc>
        <w:tc>
          <w:tcPr>
            <w:tcW w:w="1575" w:type="dxa"/>
            <w:tcBorders>
              <w:top w:val="nil"/>
              <w:left w:val="nil"/>
              <w:bottom w:val="single" w:color="auto" w:sz="4" w:space="0"/>
              <w:right w:val="single" w:color="auto" w:sz="4" w:space="0"/>
            </w:tcBorders>
            <w:shd w:val="clear" w:color="auto" w:fill="auto"/>
            <w:vAlign w:val="center"/>
          </w:tcPr>
          <w:p w14:paraId="3290287F">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bl>
    <w:p w14:paraId="71644C1D"/>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2000000000000000000"/>
    <w:charset w:val="86"/>
    <w:family w:val="script"/>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3EAAAC47">
        <w:pPr>
          <w:pStyle w:val="7"/>
          <w:jc w:val="center"/>
          <w:rPr>
            <w:rFonts w:hint="eastAsia"/>
          </w:rPr>
        </w:pPr>
        <w:r>
          <w:fldChar w:fldCharType="begin"/>
        </w:r>
        <w:r>
          <w:instrText xml:space="preserve">PAGE   \* MERGEFORMAT</w:instrText>
        </w:r>
        <w:r>
          <w:fldChar w:fldCharType="separate"/>
        </w:r>
        <w:r>
          <w:rPr>
            <w:rFonts w:hint="eastAsia"/>
            <w:lang w:val="zh-CN"/>
          </w:rPr>
          <w:t>23</w:t>
        </w:r>
        <w:r>
          <w:fldChar w:fldCharType="end"/>
        </w:r>
      </w:p>
    </w:sdtContent>
  </w:sdt>
  <w:p w14:paraId="7985CA90">
    <w:pPr>
      <w:pStyle w:val="7"/>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decimal"/>
      <w:lvlText w:val="%1."/>
      <w:lvlJc w:val="left"/>
      <w:pPr>
        <w:ind w:left="1000" w:hanging="360"/>
      </w:pPr>
      <w:rPr>
        <w:rFonts w:hint="default"/>
        <w:color w:val="auto"/>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03D62ECE"/>
    <w:multiLevelType w:val="multilevel"/>
    <w:tmpl w:val="03D62ECE"/>
    <w:lvl w:ilvl="0" w:tentative="0">
      <w:start w:val="1"/>
      <w:numFmt w:val="decimalEnclosedCircle"/>
      <w:lvlText w:val="%1"/>
      <w:lvlJc w:val="left"/>
      <w:pPr>
        <w:ind w:left="1000" w:hanging="360"/>
      </w:pPr>
      <w:rPr>
        <w:rFonts w:hint="default" w:ascii="宋体" w:hAnsi="宋体" w:cs="宋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embedSystemFonts/>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0E0F032C"/>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2"/>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kern w:val="0"/>
      <w:sz w:val="24"/>
    </w:rPr>
  </w:style>
  <w:style w:type="paragraph" w:styleId="10">
    <w:name w:val="Title"/>
    <w:basedOn w:val="1"/>
    <w:next w:val="1"/>
    <w:link w:val="26"/>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Body Text First Indent"/>
    <w:basedOn w:val="4"/>
    <w:qFormat/>
    <w:uiPriority w:val="0"/>
    <w:pPr>
      <w:spacing w:after="0"/>
      <w:ind w:firstLine="200" w:firstLineChars="200"/>
    </w:pPr>
  </w:style>
  <w:style w:type="paragraph" w:styleId="12">
    <w:name w:val="Body Text First Indent 2"/>
    <w:basedOn w:val="5"/>
    <w:qFormat/>
    <w:uiPriority w:val="0"/>
    <w:pPr>
      <w:ind w:firstLine="420" w:firstLineChars="200"/>
    </w:pPr>
  </w:style>
  <w:style w:type="table" w:styleId="14">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basedOn w:val="15"/>
    <w:qFormat/>
    <w:uiPriority w:val="0"/>
    <w:rPr>
      <w:b/>
      <w:bCs/>
    </w:rPr>
  </w:style>
  <w:style w:type="paragraph" w:customStyle="1" w:styleId="17">
    <w:name w:val="Comment Subject"/>
    <w:basedOn w:val="18"/>
    <w:next w:val="18"/>
    <w:link w:val="25"/>
    <w:qFormat/>
    <w:uiPriority w:val="0"/>
    <w:rPr>
      <w:b/>
      <w:bCs/>
    </w:rPr>
  </w:style>
  <w:style w:type="paragraph" w:customStyle="1" w:styleId="18">
    <w:name w:val="Comment Text"/>
    <w:basedOn w:val="1"/>
    <w:link w:val="24"/>
    <w:qFormat/>
    <w:uiPriority w:val="0"/>
    <w:pPr>
      <w:jc w:val="left"/>
    </w:pPr>
  </w:style>
  <w:style w:type="character" w:customStyle="1" w:styleId="19">
    <w:name w:val="Comment Reference"/>
    <w:basedOn w:val="15"/>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Char"/>
    <w:basedOn w:val="15"/>
    <w:link w:val="6"/>
    <w:qFormat/>
    <w:uiPriority w:val="0"/>
    <w:rPr>
      <w:rFonts w:ascii="Times New Roman" w:hAnsi="Times New Roman" w:eastAsia="宋体" w:cs="Times New Roman"/>
      <w:kern w:val="2"/>
      <w:sz w:val="18"/>
      <w:szCs w:val="18"/>
    </w:rPr>
  </w:style>
  <w:style w:type="character" w:customStyle="1" w:styleId="23">
    <w:name w:val="页眉 Char"/>
    <w:basedOn w:val="15"/>
    <w:link w:val="8"/>
    <w:qFormat/>
    <w:uiPriority w:val="0"/>
    <w:rPr>
      <w:rFonts w:ascii="Times New Roman" w:hAnsi="Times New Roman" w:eastAsia="宋体" w:cs="Times New Roman"/>
      <w:kern w:val="2"/>
      <w:sz w:val="18"/>
      <w:szCs w:val="18"/>
    </w:rPr>
  </w:style>
  <w:style w:type="character" w:customStyle="1" w:styleId="24">
    <w:name w:val="批注文字 Char"/>
    <w:basedOn w:val="15"/>
    <w:link w:val="18"/>
    <w:qFormat/>
    <w:uiPriority w:val="0"/>
    <w:rPr>
      <w:rFonts w:ascii="Times New Roman" w:hAnsi="Times New Roman" w:eastAsia="宋体" w:cs="Times New Roman"/>
      <w:kern w:val="2"/>
      <w:sz w:val="21"/>
      <w:szCs w:val="24"/>
    </w:rPr>
  </w:style>
  <w:style w:type="character" w:customStyle="1" w:styleId="25">
    <w:name w:val="批注主题 Char"/>
    <w:basedOn w:val="24"/>
    <w:link w:val="17"/>
    <w:qFormat/>
    <w:uiPriority w:val="0"/>
    <w:rPr>
      <w:rFonts w:ascii="Times New Roman" w:hAnsi="Times New Roman" w:eastAsia="宋体" w:cs="Times New Roman"/>
      <w:b/>
      <w:bCs/>
      <w:kern w:val="2"/>
      <w:sz w:val="21"/>
      <w:szCs w:val="24"/>
    </w:rPr>
  </w:style>
  <w:style w:type="character" w:customStyle="1" w:styleId="26">
    <w:name w:val="标题 Char"/>
    <w:basedOn w:val="15"/>
    <w:link w:val="10"/>
    <w:uiPriority w:val="10"/>
    <w:rPr>
      <w:rFonts w:asciiTheme="majorHAnsi" w:hAnsiTheme="majorHAnsi" w:eastAsiaTheme="majorEastAsia"/>
      <w:b/>
      <w:bCs/>
      <w:kern w:val="28"/>
      <w:sz w:val="32"/>
      <w:szCs w:val="32"/>
    </w:rPr>
  </w:style>
  <w:style w:type="paragraph" w:styleId="2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ICV">
    <vt:lpwstr>F1A32EB7C53F433780EB4BD1AD3DECDF_13</vt:lpwstr>
  </property>
  <property fmtid="{D5CDD505-2E9C-101B-9397-08002B2CF9AE}" pid="4" name="KSOTemplateDocerSaveRecord">
    <vt:lpwstr>eyJoZGlkIjoiM2QyNTVlMjA1MzU0ZmE2ZGVjNjEzNjExZjg0MmQ1MzciLCJ1c2VySWQiOiIyMjk4MzUzNDIifQ==</vt:lpwstr>
  </property>
</Properties>
</file>

<file path=customXml/itemProps1.xml><?xml version="1.0" encoding="utf-8"?>
<ds:datastoreItem xmlns:ds="http://schemas.openxmlformats.org/officeDocument/2006/customXml" ds:itemID="{E3D901AD-AB0A-4133-9432-10A9A3984931}">
  <ds:schemaRefs/>
</ds:datastoreItem>
</file>

<file path=customXml/itemProps2.xml><?xml version="1.0" encoding="utf-8"?>
<ds:datastoreItem xmlns:ds="http://schemas.openxmlformats.org/officeDocument/2006/customXml" ds:itemID="{0609cd32-8f99-4a48-9c29-9872b7651611}">
  <ds:schemaRefs/>
</ds:datastoreItem>
</file>

<file path=docProps/app.xml><?xml version="1.0" encoding="utf-8"?>
<Properties xmlns="http://schemas.openxmlformats.org/officeDocument/2006/extended-properties" xmlns:vt="http://schemas.openxmlformats.org/officeDocument/2006/docPropsVTypes">
  <Template>Normal</Template>
  <Pages>34</Pages>
  <Words>13773</Words>
  <Characters>14522</Characters>
  <Lines>15</Lines>
  <Paragraphs>32</Paragraphs>
  <TotalTime>227</TotalTime>
  <ScaleCrop>false</ScaleCrop>
  <LinksUpToDate>false</LinksUpToDate>
  <CharactersWithSpaces>14567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雨。</cp:lastModifiedBy>
  <dcterms:modified xsi:type="dcterms:W3CDTF">2025-09-25T02:45:22Z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F1A32EB7C53F433780EB4BD1AD3DECDF_13</vt:lpwstr>
  </property>
  <property fmtid="{D5CDD505-2E9C-101B-9397-08002B2CF9AE}" pid="4" name="KSOTemplateDocerSaveRecord">
    <vt:lpwstr>eyJoZGlkIjoiN2E1ZDY0MDI5MTE3YjM0ZGMyMzg4N2EwMDI4ZjJiM2YiLCJ1c2VySWQiOiIyNTk4NTcxMjUifQ==</vt:lpwstr>
  </property>
</Properties>
</file>