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博湖县科学技术协会2024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07D3D64">
      <w:r>
        <w:br w:type="page"/>
      </w:r>
    </w:p>
    <w:p w14:paraId="22DD298E">
      <w:pPr>
        <w:spacing w:line="640" w:lineRule="exact"/>
        <w:jc w:val="center"/>
        <w:outlineLvl w:val="1"/>
      </w:pPr>
      <w:r>
        <w:rPr>
          <w:rFonts w:ascii="黑体" w:hAnsi="黑体" w:eastAsia="黑体"/>
          <w:sz w:val="32"/>
        </w:rPr>
        <w:t>第一部分 部门概况</w:t>
      </w:r>
    </w:p>
    <w:p w14:paraId="25B26198">
      <w:pPr>
        <w:spacing w:line="640" w:lineRule="exact"/>
        <w:ind w:firstLine="640"/>
        <w:jc w:val="both"/>
        <w:outlineLvl w:val="2"/>
      </w:pPr>
      <w:r>
        <w:rPr>
          <w:rFonts w:ascii="黑体" w:hAnsi="黑体" w:eastAsia="黑体"/>
          <w:sz w:val="32"/>
        </w:rPr>
        <w:t>一、主要职能</w:t>
      </w:r>
    </w:p>
    <w:p w14:paraId="28245312">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开展学术交流，活跃学术思想，促进学科发展和经济建设。</w:t>
      </w:r>
    </w:p>
    <w:p w14:paraId="48EB7C9E">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弘扬科学精神，普及科学知识，传播科学思想和科学方法。捍卫科学尊严，推广先进技术，开展青少年科技教育活动，提高全民族科学文化素质。</w:t>
      </w:r>
    </w:p>
    <w:p w14:paraId="4EFD4BBD">
      <w:pPr>
        <w:spacing w:line="580" w:lineRule="exact"/>
        <w:ind w:firstLine="640"/>
        <w:jc w:val="both"/>
      </w:pPr>
      <w:r>
        <w:rPr>
          <w:rFonts w:hint="eastAsia" w:ascii="仿宋_GB2312" w:hAnsi="仿宋_GB2312" w:eastAsia="仿宋_GB2312"/>
          <w:sz w:val="32"/>
          <w:lang w:eastAsia="zh-CN"/>
        </w:rPr>
        <w:t>3.反映</w:t>
      </w:r>
      <w:r>
        <w:rPr>
          <w:rFonts w:ascii="仿宋_GB2312" w:hAnsi="仿宋_GB2312" w:eastAsia="仿宋_GB2312"/>
          <w:sz w:val="32"/>
        </w:rPr>
        <w:t>科学技术工作者的意见和要求，维护科学技术工作者的合法权益。组织科学技术工作者参与政府科技政策、法规的制定和政治协商与民主监督工作。</w:t>
      </w:r>
    </w:p>
    <w:p w14:paraId="26B5FC06">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表彰奖励优秀科学技术工作者，举荐人才。弘扬“尊重知识，尊重人才”的社会风尚。</w:t>
      </w:r>
    </w:p>
    <w:p w14:paraId="036EE530">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开展科学论证、咨询服务，提出政策建议，促进科学技术成果的转化，接受委托承担项目评估、成果鉴定、专业技术职务资格评审等任务。</w:t>
      </w:r>
    </w:p>
    <w:p w14:paraId="31F1F5F9">
      <w:pPr>
        <w:spacing w:line="640" w:lineRule="exact"/>
        <w:ind w:firstLine="640"/>
        <w:jc w:val="both"/>
        <w:outlineLvl w:val="2"/>
      </w:pPr>
      <w:r>
        <w:rPr>
          <w:rFonts w:ascii="黑体" w:hAnsi="黑体" w:eastAsia="黑体"/>
          <w:sz w:val="32"/>
        </w:rPr>
        <w:t>二、机构设置及人员情况</w:t>
      </w:r>
    </w:p>
    <w:p w14:paraId="00AD7969">
      <w:pPr>
        <w:spacing w:line="580" w:lineRule="exact"/>
        <w:ind w:firstLine="640"/>
        <w:jc w:val="both"/>
      </w:pPr>
      <w:r>
        <w:rPr>
          <w:rFonts w:ascii="仿宋_GB2312" w:hAnsi="仿宋_GB2312" w:eastAsia="仿宋_GB2312"/>
          <w:sz w:val="32"/>
        </w:rPr>
        <w:t>博湖县科学技术协会2024年度，实有人数4人，其中：在职人员3人，增加0人；离休人员0人，增加0人；退休人员1人,增加0人。</w:t>
      </w:r>
    </w:p>
    <w:p w14:paraId="4678B00A">
      <w:pPr>
        <w:spacing w:line="580" w:lineRule="exact"/>
        <w:ind w:firstLine="640"/>
        <w:jc w:val="both"/>
      </w:pPr>
      <w:r>
        <w:rPr>
          <w:rFonts w:ascii="仿宋_GB2312" w:hAnsi="仿宋_GB2312" w:eastAsia="仿宋_GB2312"/>
          <w:sz w:val="32"/>
        </w:rPr>
        <w:t>博湖县科学技术协会无下属预算单位，下设2个科室，分别是：主席室、科协办公室。</w:t>
      </w:r>
    </w:p>
    <w:p w14:paraId="2337DD15">
      <w:r>
        <w:br w:type="page"/>
      </w:r>
    </w:p>
    <w:p w14:paraId="3DD14673">
      <w:pPr>
        <w:spacing w:line="240" w:lineRule="auto"/>
        <w:jc w:val="center"/>
        <w:outlineLvl w:val="1"/>
      </w:pPr>
      <w:r>
        <w:rPr>
          <w:rFonts w:ascii="黑体" w:hAnsi="黑体" w:eastAsia="黑体"/>
          <w:sz w:val="32"/>
        </w:rPr>
        <w:t>第二部分 部门决算情况说明</w:t>
      </w:r>
    </w:p>
    <w:p w14:paraId="5758394A">
      <w:pPr>
        <w:spacing w:line="640" w:lineRule="exact"/>
        <w:ind w:firstLine="640"/>
        <w:jc w:val="both"/>
        <w:outlineLvl w:val="2"/>
      </w:pPr>
      <w:r>
        <w:rPr>
          <w:rFonts w:ascii="黑体" w:hAnsi="黑体" w:eastAsia="黑体"/>
          <w:sz w:val="32"/>
        </w:rPr>
        <w:t>一、收入支出决算总体情况说明</w:t>
      </w:r>
    </w:p>
    <w:p w14:paraId="303380C5">
      <w:pPr>
        <w:spacing w:line="580" w:lineRule="exact"/>
        <w:ind w:firstLine="640"/>
        <w:jc w:val="both"/>
      </w:pPr>
      <w:r>
        <w:rPr>
          <w:rFonts w:ascii="仿宋_GB2312" w:hAnsi="仿宋_GB2312" w:eastAsia="仿宋_GB2312"/>
          <w:b/>
          <w:sz w:val="32"/>
        </w:rPr>
        <w:t>2024年度收入总计59.10万元，</w:t>
      </w:r>
      <w:r>
        <w:rPr>
          <w:rFonts w:ascii="仿宋_GB2312" w:hAnsi="仿宋_GB2312" w:eastAsia="仿宋_GB2312"/>
          <w:b w:val="0"/>
          <w:sz w:val="32"/>
        </w:rPr>
        <w:t>其中：本年收入合计56.75万元，使用非财政拨款结余（含专用结余）0.00万元，年初结转和结余2.35万元。</w:t>
      </w:r>
    </w:p>
    <w:p w14:paraId="280B86B1">
      <w:pPr>
        <w:spacing w:line="580" w:lineRule="exact"/>
        <w:ind w:firstLine="640"/>
        <w:jc w:val="both"/>
      </w:pPr>
      <w:r>
        <w:rPr>
          <w:rFonts w:ascii="仿宋_GB2312" w:hAnsi="仿宋_GB2312" w:eastAsia="仿宋_GB2312"/>
          <w:b/>
          <w:sz w:val="32"/>
        </w:rPr>
        <w:t>2024年度支出总计59.10万元，</w:t>
      </w:r>
      <w:r>
        <w:rPr>
          <w:rFonts w:ascii="仿宋_GB2312" w:hAnsi="仿宋_GB2312" w:eastAsia="仿宋_GB2312"/>
          <w:b w:val="0"/>
          <w:sz w:val="32"/>
        </w:rPr>
        <w:t>其中：本年支出合计56.72万元，结余分配0.00万元，年末结转和结余2.38万元。</w:t>
      </w:r>
    </w:p>
    <w:p w14:paraId="2EEB81C3">
      <w:pPr>
        <w:spacing w:line="580" w:lineRule="exact"/>
        <w:ind w:firstLine="640"/>
        <w:jc w:val="both"/>
      </w:pPr>
      <w:r>
        <w:rPr>
          <w:rFonts w:ascii="仿宋_GB2312" w:hAnsi="仿宋_GB2312" w:eastAsia="仿宋_GB2312"/>
          <w:b w:val="0"/>
          <w:sz w:val="32"/>
        </w:rPr>
        <w:t>收入支出总体与上年相比，增加4.60万元，增长8.44%，主要原因是：本年增加自治区“基层科普行动计划”活动经费、税务局退回历年多收车船税。</w:t>
      </w:r>
    </w:p>
    <w:p w14:paraId="2542A789">
      <w:pPr>
        <w:spacing w:line="640" w:lineRule="exact"/>
        <w:ind w:firstLine="640"/>
        <w:jc w:val="both"/>
        <w:outlineLvl w:val="2"/>
      </w:pPr>
      <w:r>
        <w:rPr>
          <w:rFonts w:ascii="黑体" w:hAnsi="黑体" w:eastAsia="黑体"/>
          <w:sz w:val="32"/>
        </w:rPr>
        <w:t>二、收入决算情况说明</w:t>
      </w:r>
    </w:p>
    <w:p w14:paraId="72E959A2">
      <w:pPr>
        <w:spacing w:line="580" w:lineRule="exact"/>
        <w:ind w:firstLine="640"/>
        <w:jc w:val="both"/>
      </w:pPr>
      <w:r>
        <w:rPr>
          <w:rFonts w:ascii="仿宋_GB2312" w:hAnsi="仿宋_GB2312" w:eastAsia="仿宋_GB2312"/>
          <w:b/>
          <w:sz w:val="32"/>
        </w:rPr>
        <w:t>本年收入56.75万元，</w:t>
      </w:r>
      <w:r>
        <w:rPr>
          <w:rFonts w:ascii="仿宋_GB2312" w:hAnsi="仿宋_GB2312" w:eastAsia="仿宋_GB2312"/>
          <w:b w:val="0"/>
          <w:sz w:val="32"/>
        </w:rPr>
        <w:t>其中：财政拨款收入55.46万元，占97.73%；上级补助收入0.00万元，占0.00%；事业收入0.00万元，占0.00%；经营收入0.00万元，占0.00%；附属单位上缴收入0.00万元，占0.00%；其他收入1.29万元，占2.27%。</w:t>
      </w:r>
    </w:p>
    <w:p w14:paraId="6DC1B9F4">
      <w:pPr>
        <w:spacing w:line="640" w:lineRule="exact"/>
        <w:ind w:firstLine="640"/>
        <w:jc w:val="both"/>
        <w:outlineLvl w:val="2"/>
      </w:pPr>
      <w:r>
        <w:rPr>
          <w:rFonts w:ascii="黑体" w:hAnsi="黑体" w:eastAsia="黑体"/>
          <w:sz w:val="32"/>
        </w:rPr>
        <w:t>三、支出决算情况说明</w:t>
      </w:r>
    </w:p>
    <w:p w14:paraId="5CA69EC9">
      <w:pPr>
        <w:spacing w:line="580" w:lineRule="exact"/>
        <w:ind w:firstLine="640"/>
        <w:jc w:val="both"/>
      </w:pPr>
      <w:r>
        <w:rPr>
          <w:rFonts w:ascii="仿宋_GB2312" w:hAnsi="仿宋_GB2312" w:eastAsia="仿宋_GB2312"/>
          <w:b/>
          <w:sz w:val="32"/>
        </w:rPr>
        <w:t>本年支出56.72万元，</w:t>
      </w:r>
      <w:r>
        <w:rPr>
          <w:rFonts w:ascii="仿宋_GB2312" w:hAnsi="仿宋_GB2312" w:eastAsia="仿宋_GB2312"/>
          <w:b w:val="0"/>
          <w:sz w:val="32"/>
        </w:rPr>
        <w:t>其中：基本支出51.52万元，占90.83%；项目支出5.20万元，占9.17%；上缴上级支出0.00万元，占0.00%；经营支出0.00万元，占0.00%；对附属单位补助支出0.00万元，占0.00%。</w:t>
      </w:r>
    </w:p>
    <w:p w14:paraId="39AF6C3B">
      <w:pPr>
        <w:spacing w:line="640" w:lineRule="exact"/>
        <w:ind w:firstLine="640"/>
        <w:jc w:val="both"/>
        <w:outlineLvl w:val="2"/>
      </w:pPr>
      <w:r>
        <w:rPr>
          <w:rFonts w:ascii="黑体" w:hAnsi="黑体" w:eastAsia="黑体"/>
          <w:sz w:val="32"/>
        </w:rPr>
        <w:t>四、财政拨款收入支出决算总体情况说明</w:t>
      </w:r>
    </w:p>
    <w:p w14:paraId="64B548A2">
      <w:pPr>
        <w:spacing w:line="580" w:lineRule="exact"/>
        <w:ind w:firstLine="640"/>
        <w:jc w:val="both"/>
      </w:pPr>
      <w:r>
        <w:rPr>
          <w:rFonts w:ascii="仿宋_GB2312" w:hAnsi="仿宋_GB2312" w:eastAsia="仿宋_GB2312"/>
          <w:b/>
          <w:sz w:val="32"/>
        </w:rPr>
        <w:t>2024年度财政拨款收入总计55.46万元，</w:t>
      </w:r>
      <w:r>
        <w:rPr>
          <w:rFonts w:ascii="仿宋_GB2312" w:hAnsi="仿宋_GB2312" w:eastAsia="仿宋_GB2312"/>
          <w:b w:val="0"/>
          <w:sz w:val="32"/>
        </w:rPr>
        <w:t>其中：年初财政拨款结转和结余0.00万元，本年财政拨款收入55.46万元。</w:t>
      </w:r>
      <w:r>
        <w:rPr>
          <w:rFonts w:ascii="仿宋_GB2312" w:hAnsi="仿宋_GB2312" w:eastAsia="仿宋_GB2312"/>
          <w:b/>
          <w:sz w:val="32"/>
        </w:rPr>
        <w:t>财政拨款支出总计55.46万元，</w:t>
      </w:r>
      <w:r>
        <w:rPr>
          <w:rFonts w:ascii="仿宋_GB2312" w:hAnsi="仿宋_GB2312" w:eastAsia="仿宋_GB2312"/>
          <w:b w:val="0"/>
          <w:sz w:val="32"/>
        </w:rPr>
        <w:t>其中：年末财政拨款结转和结余0.00万元，本年财政拨款支出55.46万元。</w:t>
      </w:r>
    </w:p>
    <w:p w14:paraId="4C6FA1B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增加0.97万元，增长1.78%，主要原因是：本年增加自治区“基层科普行动计划”项目，在职人员工资调增、社保、公积金基数调增，人员经费增加。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年初预算数57.74万元，决算数55.46万元，预决算差异率-3.95%，主要原因是：年中减少自治州乡村科普馆运行管“基层科普行动计划”奖补资金，导致预决算存在差异。</w:t>
      </w:r>
    </w:p>
    <w:p w14:paraId="63E7F030">
      <w:pPr>
        <w:spacing w:line="640" w:lineRule="exact"/>
        <w:ind w:firstLine="640"/>
        <w:jc w:val="both"/>
        <w:outlineLvl w:val="2"/>
      </w:pPr>
      <w:r>
        <w:rPr>
          <w:rFonts w:ascii="黑体" w:hAnsi="黑体" w:eastAsia="黑体"/>
          <w:sz w:val="32"/>
        </w:rPr>
        <w:t>五、一般公共预算财政拨款支出决算情况说明</w:t>
      </w:r>
    </w:p>
    <w:p w14:paraId="5B4E6B32">
      <w:pPr>
        <w:spacing w:line="640" w:lineRule="exact"/>
        <w:ind w:firstLine="640"/>
        <w:jc w:val="both"/>
        <w:outlineLvl w:val="3"/>
      </w:pPr>
      <w:r>
        <w:rPr>
          <w:rFonts w:ascii="楷体_GB2312" w:hAnsi="楷体_GB2312" w:eastAsia="楷体_GB2312"/>
          <w:b/>
          <w:sz w:val="32"/>
        </w:rPr>
        <w:t>（一）一般公共预算财政拨款支出决算总体情况</w:t>
      </w:r>
    </w:p>
    <w:p w14:paraId="27FD586D">
      <w:pPr>
        <w:spacing w:line="580" w:lineRule="exact"/>
        <w:ind w:firstLine="640"/>
        <w:jc w:val="both"/>
      </w:pPr>
      <w:r>
        <w:rPr>
          <w:rFonts w:ascii="仿宋_GB2312" w:hAnsi="仿宋_GB2312" w:eastAsia="仿宋_GB2312"/>
          <w:b/>
          <w:sz w:val="32"/>
        </w:rPr>
        <w:t>2024年度一般公共预算财政拨款支出55.46万元，</w:t>
      </w:r>
      <w:r>
        <w:rPr>
          <w:rFonts w:ascii="仿宋_GB2312" w:hAnsi="仿宋_GB2312" w:eastAsia="仿宋_GB2312"/>
          <w:b w:val="0"/>
          <w:sz w:val="32"/>
        </w:rPr>
        <w:t>占本年支出合计的97.78%。</w:t>
      </w:r>
      <w:r>
        <w:rPr>
          <w:rFonts w:ascii="仿宋_GB2312" w:hAnsi="仿宋_GB2312" w:eastAsia="仿宋_GB2312"/>
          <w:b/>
          <w:sz w:val="32"/>
        </w:rPr>
        <w:t>与上年相比，</w:t>
      </w:r>
      <w:r>
        <w:rPr>
          <w:rFonts w:ascii="仿宋_GB2312" w:hAnsi="仿宋_GB2312" w:eastAsia="仿宋_GB2312"/>
          <w:b w:val="0"/>
          <w:sz w:val="32"/>
        </w:rPr>
        <w:t>增加0.97万元，增长1.78%，主要原因是：本年增加自治区“基层科普行动计划”项目，导致经费较上年增加。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年初预算数57.74万元，决算数55.46万元，预决算差异率-3.95%，主要原因是：年中减少自治州乡村科普馆运行管“基层科普行动计划”奖补资金，导致预决算存在差异。</w:t>
      </w:r>
    </w:p>
    <w:p w14:paraId="7D1E2F5A">
      <w:pPr>
        <w:spacing w:line="640" w:lineRule="exact"/>
        <w:ind w:firstLine="640"/>
        <w:jc w:val="both"/>
        <w:outlineLvl w:val="3"/>
      </w:pPr>
      <w:r>
        <w:rPr>
          <w:rFonts w:ascii="楷体_GB2312" w:hAnsi="楷体_GB2312" w:eastAsia="楷体_GB2312"/>
          <w:b/>
          <w:sz w:val="32"/>
        </w:rPr>
        <w:t>（二）一般公共预算财政拨款支出决算结构情况</w:t>
      </w:r>
    </w:p>
    <w:p w14:paraId="22197E03">
      <w:pPr>
        <w:spacing w:line="580" w:lineRule="exact"/>
        <w:ind w:firstLine="640"/>
        <w:jc w:val="both"/>
      </w:pPr>
      <w:r>
        <w:rPr>
          <w:rFonts w:ascii="仿宋_GB2312" w:hAnsi="仿宋_GB2312" w:eastAsia="仿宋_GB2312"/>
          <w:b w:val="0"/>
          <w:sz w:val="32"/>
        </w:rPr>
        <w:t>1.科学技术支出(类)42.19万元,占76.07%。</w:t>
      </w:r>
    </w:p>
    <w:p w14:paraId="0A81A17E">
      <w:pPr>
        <w:spacing w:line="580" w:lineRule="exact"/>
        <w:ind w:firstLine="640"/>
        <w:jc w:val="both"/>
      </w:pPr>
      <w:r>
        <w:rPr>
          <w:rFonts w:ascii="仿宋_GB2312" w:hAnsi="仿宋_GB2312" w:eastAsia="仿宋_GB2312"/>
          <w:b w:val="0"/>
          <w:sz w:val="32"/>
        </w:rPr>
        <w:t>2.社会保障和就业支出(类)6.20万元,占11.18%。</w:t>
      </w:r>
    </w:p>
    <w:p w14:paraId="22EEBD27">
      <w:pPr>
        <w:spacing w:line="580" w:lineRule="exact"/>
        <w:ind w:firstLine="640"/>
        <w:jc w:val="both"/>
      </w:pPr>
      <w:r>
        <w:rPr>
          <w:rFonts w:ascii="仿宋_GB2312" w:hAnsi="仿宋_GB2312" w:eastAsia="仿宋_GB2312"/>
          <w:b w:val="0"/>
          <w:sz w:val="32"/>
        </w:rPr>
        <w:t>3.卫生健康支出(类)2.81万元,占5.07%。</w:t>
      </w:r>
    </w:p>
    <w:p w14:paraId="281C9B80">
      <w:pPr>
        <w:spacing w:line="580" w:lineRule="exact"/>
        <w:ind w:firstLine="640"/>
        <w:jc w:val="both"/>
      </w:pPr>
      <w:r>
        <w:rPr>
          <w:rFonts w:ascii="仿宋_GB2312" w:hAnsi="仿宋_GB2312" w:eastAsia="仿宋_GB2312"/>
          <w:b w:val="0"/>
          <w:sz w:val="32"/>
        </w:rPr>
        <w:t>4.住房保障支出(类)4.26万元,占7.68%。</w:t>
      </w:r>
    </w:p>
    <w:p w14:paraId="71B04927">
      <w:pPr>
        <w:spacing w:line="640" w:lineRule="exact"/>
        <w:ind w:firstLine="640"/>
        <w:jc w:val="both"/>
        <w:outlineLvl w:val="3"/>
      </w:pPr>
      <w:r>
        <w:rPr>
          <w:rFonts w:ascii="楷体_GB2312" w:hAnsi="楷体_GB2312" w:eastAsia="楷体_GB2312"/>
          <w:b/>
          <w:sz w:val="32"/>
        </w:rPr>
        <w:t>（三）一般公共预算财政拨款支出决算具体情况</w:t>
      </w:r>
    </w:p>
    <w:p w14:paraId="6F1180F1">
      <w:pPr>
        <w:spacing w:line="580" w:lineRule="exact"/>
        <w:ind w:firstLine="640"/>
        <w:jc w:val="both"/>
      </w:pPr>
      <w:r>
        <w:rPr>
          <w:rFonts w:ascii="仿宋_GB2312" w:hAnsi="仿宋_GB2312" w:eastAsia="仿宋_GB2312"/>
          <w:b w:val="0"/>
          <w:sz w:val="32"/>
        </w:rPr>
        <w:t>1.科学技术支出(类)科学技术管理事务(款)行政运行(项):支出决算数为38.24万元，比上年决算减少2.64万元，下降6.46%,主要原因是：本年减少补发第十三月工资奖励金、奖励绩效金、艰边津贴等人员经费，相关支出减少。</w:t>
      </w:r>
    </w:p>
    <w:p w14:paraId="18A244B2">
      <w:pPr>
        <w:spacing w:line="580" w:lineRule="exact"/>
        <w:ind w:firstLine="640"/>
        <w:jc w:val="both"/>
      </w:pPr>
      <w:r>
        <w:rPr>
          <w:rFonts w:ascii="仿宋_GB2312" w:hAnsi="仿宋_GB2312" w:eastAsia="仿宋_GB2312"/>
          <w:b w:val="0"/>
          <w:sz w:val="32"/>
        </w:rPr>
        <w:t>2.科学技术支出(类)科学技术普及(款)科普活动(项):支出决算数为3.95万元，比上年决算增加2.15万元，增长119.44%,主要原因是：本年增加自治区“基层科普行动计划”项目，相关支出增加。</w:t>
      </w:r>
    </w:p>
    <w:p w14:paraId="5328924C">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3.社会保障和就业支出(类)行政事业单位养老支出(款)行政单位离退休(项):支出决算数为0.81万元，比上年决算增加0.21万元，增长35.00%,主要原因是：本年增加退休人员基础绩效奖，退休费支出增加。</w:t>
      </w:r>
    </w:p>
    <w:p w14:paraId="62B6A7DB">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5.39万元，比上年决算增加0.51万元，增长10.45%,主要原因是：本年在职人员工资调增，基本养老保险缴费增加。</w:t>
      </w:r>
    </w:p>
    <w:p w14:paraId="0AE3E9A9">
      <w:pPr>
        <w:spacing w:line="580" w:lineRule="exact"/>
        <w:ind w:firstLine="640"/>
        <w:jc w:val="both"/>
      </w:pPr>
      <w:r>
        <w:rPr>
          <w:rFonts w:ascii="仿宋_GB2312" w:hAnsi="仿宋_GB2312" w:eastAsia="仿宋_GB2312"/>
          <w:b w:val="0"/>
          <w:sz w:val="32"/>
        </w:rPr>
        <w:t>5.卫生健康支出(类)行政事业单位医疗(款)行政单位医疗(项):支出决算数为2.44万元，比上年决算增加0.39万元，增长19.02%,主要原因是：本年在职人员工资调增，行政单位医疗缴费增加。</w:t>
      </w:r>
    </w:p>
    <w:p w14:paraId="02506DDB">
      <w:pPr>
        <w:spacing w:line="580" w:lineRule="exact"/>
        <w:ind w:firstLine="640"/>
        <w:jc w:val="both"/>
      </w:pPr>
      <w:r>
        <w:rPr>
          <w:rFonts w:ascii="仿宋_GB2312" w:hAnsi="仿宋_GB2312" w:eastAsia="仿宋_GB2312"/>
          <w:b w:val="0"/>
          <w:sz w:val="32"/>
        </w:rPr>
        <w:t>6.卫生健康支出(类)行政事业单位医疗(款)公务员医疗补助(项):支出决算数为0.36万元，比上年决算减少0.16万元，下降30.77%,主要原因是：退休人员医疗保险制度改革，退休人员不再缴纳公务员医疗补助。</w:t>
      </w:r>
    </w:p>
    <w:p w14:paraId="1E6FE6A8">
      <w:pPr>
        <w:spacing w:line="580" w:lineRule="exact"/>
        <w:ind w:firstLine="640"/>
        <w:jc w:val="both"/>
      </w:pPr>
      <w:r>
        <w:rPr>
          <w:rFonts w:ascii="仿宋_GB2312" w:hAnsi="仿宋_GB2312" w:eastAsia="仿宋_GB2312"/>
          <w:b w:val="0"/>
          <w:sz w:val="32"/>
        </w:rPr>
        <w:t>7.住房保障支出(类)住房改革支出(款)住房公积金(项):支出决算数为4.26万元，比上年决算增加0.50万元，增长13.30%,主要原因是：在职人员工资调增，住房公积金缴费增加。</w:t>
      </w:r>
    </w:p>
    <w:p w14:paraId="7CA32240">
      <w:pPr>
        <w:spacing w:line="640" w:lineRule="exact"/>
        <w:ind w:firstLine="640"/>
        <w:jc w:val="both"/>
        <w:outlineLvl w:val="2"/>
      </w:pPr>
      <w:r>
        <w:rPr>
          <w:rFonts w:ascii="黑体" w:hAnsi="黑体" w:eastAsia="黑体"/>
          <w:sz w:val="32"/>
        </w:rPr>
        <w:t>六、一般公共预算财政拨款基本支出决算情况说明</w:t>
      </w:r>
    </w:p>
    <w:p w14:paraId="7CB2F2F4">
      <w:pPr>
        <w:spacing w:line="580" w:lineRule="exact"/>
        <w:ind w:firstLine="640"/>
        <w:jc w:val="both"/>
      </w:pPr>
      <w:r>
        <w:rPr>
          <w:rFonts w:ascii="仿宋_GB2312" w:hAnsi="仿宋_GB2312" w:eastAsia="仿宋_GB2312"/>
          <w:b w:val="0"/>
          <w:sz w:val="32"/>
        </w:rPr>
        <w:t>2024年度一般公共预算财政拨款基本支出51.51万元，其中：</w:t>
      </w:r>
      <w:r>
        <w:rPr>
          <w:rFonts w:ascii="仿宋_GB2312" w:hAnsi="仿宋_GB2312" w:eastAsia="仿宋_GB2312"/>
          <w:b/>
          <w:sz w:val="32"/>
        </w:rPr>
        <w:t>人员经费49.71万元，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11FBC8A6">
      <w:pPr>
        <w:spacing w:line="580" w:lineRule="exact"/>
        <w:ind w:firstLine="640"/>
        <w:jc w:val="both"/>
      </w:pPr>
      <w:r>
        <w:rPr>
          <w:rFonts w:ascii="仿宋_GB2312" w:hAnsi="仿宋_GB2312" w:eastAsia="仿宋_GB2312"/>
          <w:b/>
          <w:sz w:val="32"/>
        </w:rPr>
        <w:t>公用经费1.80万元，</w:t>
      </w:r>
      <w:r>
        <w:rPr>
          <w:rFonts w:ascii="仿宋_GB2312" w:hAnsi="仿宋_GB2312" w:eastAsia="仿宋_GB2312"/>
          <w:b w:val="0"/>
          <w:sz w:val="32"/>
        </w:rPr>
        <w:t>包括：办公费、邮电费、差旅费、维修（护）费、委托业务费、工会经费、公务用车运行维护费。</w:t>
      </w:r>
    </w:p>
    <w:p w14:paraId="4124DF1E">
      <w:pPr>
        <w:spacing w:line="640" w:lineRule="exact"/>
        <w:ind w:firstLine="640"/>
        <w:jc w:val="both"/>
        <w:outlineLvl w:val="2"/>
      </w:pPr>
      <w:r>
        <w:rPr>
          <w:rFonts w:ascii="黑体" w:hAnsi="黑体" w:eastAsia="黑体"/>
          <w:sz w:val="32"/>
        </w:rPr>
        <w:t>七、政府性基金预算财政拨款收入支出决算情况说明</w:t>
      </w:r>
    </w:p>
    <w:p w14:paraId="0D81EBFA">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3090ABDF">
      <w:pPr>
        <w:spacing w:line="640" w:lineRule="exact"/>
        <w:ind w:firstLine="640"/>
        <w:jc w:val="both"/>
        <w:outlineLvl w:val="2"/>
      </w:pPr>
      <w:r>
        <w:rPr>
          <w:rFonts w:ascii="黑体" w:hAnsi="黑体" w:eastAsia="黑体"/>
          <w:sz w:val="32"/>
        </w:rPr>
        <w:t>八、国有资本经营预算财政拨款收入支出决算情况说明</w:t>
      </w:r>
    </w:p>
    <w:p w14:paraId="1AD93E0A">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5E4B78B">
      <w:pPr>
        <w:spacing w:line="640" w:lineRule="exact"/>
        <w:ind w:firstLine="640"/>
        <w:jc w:val="both"/>
        <w:outlineLvl w:val="2"/>
      </w:pPr>
      <w:r>
        <w:rPr>
          <w:rFonts w:ascii="黑体" w:hAnsi="黑体" w:eastAsia="黑体"/>
          <w:sz w:val="32"/>
        </w:rPr>
        <w:t>九、财政拨款“三公”经费支出决算情况说明</w:t>
      </w:r>
    </w:p>
    <w:p w14:paraId="0C5FF926">
      <w:pPr>
        <w:spacing w:line="580" w:lineRule="exact"/>
        <w:ind w:firstLine="640"/>
        <w:jc w:val="both"/>
      </w:pPr>
      <w:r>
        <w:rPr>
          <w:rFonts w:ascii="仿宋_GB2312" w:hAnsi="仿宋_GB2312" w:eastAsia="仿宋_GB2312"/>
          <w:b/>
          <w:sz w:val="32"/>
        </w:rPr>
        <w:t>2024年度财政拨款“三公”经费支出0.30万元，</w:t>
      </w:r>
      <w:r>
        <w:rPr>
          <w:rFonts w:ascii="仿宋_GB2312" w:hAnsi="仿宋_GB2312" w:eastAsia="仿宋_GB2312"/>
          <w:b w:val="0"/>
          <w:sz w:val="32"/>
        </w:rPr>
        <w:t>比上年增加0.20万元，增长200.00%，主要原因是：本年科普活动次数增加，车辆使用频繁，导致公务用车运行维护费较上年增加。其中：因公出国（境）费支出0.00万元，占0.00%，比上年增加0.00万元，增长0.00%，主要原因是：2023年与2024年均未安排因公出国（境）费支出。公务用车购置及运行维护费支出0.30万元，占100.00%，比上年增加0.20万元，增长200.00%，主要原因是：本年科普活动次数增加，车辆使用频繁，导致公务用车运行维护费较上年增加。公务接待费支出0.00万元，占0.00%，比上年增加0.00万元，增长0.00%，主要原因是：2023年与2024年均未安排公务接待费支出。</w:t>
      </w:r>
    </w:p>
    <w:p w14:paraId="0E7EDF02">
      <w:pPr>
        <w:spacing w:line="580" w:lineRule="exact"/>
        <w:ind w:firstLine="640"/>
        <w:jc w:val="both"/>
      </w:pPr>
      <w:r>
        <w:rPr>
          <w:rFonts w:ascii="仿宋_GB2312" w:hAnsi="仿宋_GB2312" w:eastAsia="仿宋_GB2312"/>
          <w:b/>
          <w:sz w:val="32"/>
        </w:rPr>
        <w:t>具体情况如下：</w:t>
      </w:r>
    </w:p>
    <w:p w14:paraId="257705EA">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355D628D">
      <w:pPr>
        <w:spacing w:line="580" w:lineRule="exact"/>
        <w:ind w:firstLine="640"/>
        <w:jc w:val="both"/>
      </w:pPr>
      <w:r>
        <w:rPr>
          <w:rFonts w:ascii="仿宋_GB2312" w:hAnsi="仿宋_GB2312" w:eastAsia="仿宋_GB2312"/>
          <w:b w:val="0"/>
          <w:sz w:val="32"/>
        </w:rPr>
        <w:t>公务用车购置及运行维护费0.30万元，其中：公务用车购置费0.00万元，公务用车运行维护费0.30万元。公务用车运行维护费开支内容包括加油费、维修费、保险费。公务用车购置数0辆，公务用车保有量1辆。国有资产占用情况中固定资产车辆1辆，与公务用车保有量差异原因是：本部门固定资产车辆与公务用车保有量一致无差异。</w:t>
      </w:r>
    </w:p>
    <w:p w14:paraId="3C7B5EA5">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A745F0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0.30万元，决算数0.30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0.30万元，决算数0.30万元，预决算差异率0.00%，主要原因是：严格按照预算执行，预决算无差异。公务接待费全年预算数0.00万元，决算数0.00万元，预决算差异率0.00%，主要原因是：本部门无公务接待费。</w:t>
      </w:r>
    </w:p>
    <w:p w14:paraId="2DF5599C">
      <w:pPr>
        <w:spacing w:line="640" w:lineRule="exact"/>
        <w:ind w:firstLine="640"/>
        <w:jc w:val="both"/>
        <w:outlineLvl w:val="2"/>
      </w:pPr>
      <w:r>
        <w:rPr>
          <w:rFonts w:ascii="黑体" w:hAnsi="黑体" w:eastAsia="黑体"/>
          <w:sz w:val="32"/>
        </w:rPr>
        <w:t>十、其他重要事项的情况说明</w:t>
      </w:r>
    </w:p>
    <w:p w14:paraId="6BCDDF6E">
      <w:pPr>
        <w:spacing w:line="640" w:lineRule="exact"/>
        <w:ind w:firstLine="640"/>
        <w:jc w:val="both"/>
        <w:outlineLvl w:val="3"/>
      </w:pPr>
      <w:r>
        <w:rPr>
          <w:rFonts w:ascii="楷体_GB2312" w:hAnsi="楷体_GB2312" w:eastAsia="楷体_GB2312"/>
          <w:b/>
          <w:sz w:val="32"/>
        </w:rPr>
        <w:t>（一）机关运行经费及公用经费支出情况</w:t>
      </w:r>
    </w:p>
    <w:p w14:paraId="0F0E6EC6">
      <w:pPr>
        <w:spacing w:line="580" w:lineRule="exact"/>
        <w:ind w:firstLine="640"/>
        <w:jc w:val="both"/>
      </w:pPr>
      <w:r>
        <w:rPr>
          <w:rFonts w:ascii="仿宋_GB2312" w:hAnsi="仿宋_GB2312" w:eastAsia="仿宋_GB2312"/>
          <w:b w:val="0"/>
          <w:sz w:val="32"/>
        </w:rPr>
        <w:t>2024年度博湖县科学技术协会（行政单位和参照公务员法管理事业单位）机关运行经费支出1.80万元，比上年增加0.23万元，增长14.65%，主要原因是：本年增加委托业务费，机关运行经费支出增加。</w:t>
      </w:r>
    </w:p>
    <w:p w14:paraId="4B25130B">
      <w:pPr>
        <w:spacing w:line="640" w:lineRule="exact"/>
        <w:ind w:firstLine="640"/>
        <w:jc w:val="both"/>
        <w:outlineLvl w:val="3"/>
      </w:pPr>
      <w:r>
        <w:rPr>
          <w:rFonts w:ascii="楷体_GB2312" w:hAnsi="楷体_GB2312" w:eastAsia="楷体_GB2312"/>
          <w:b/>
          <w:sz w:val="32"/>
        </w:rPr>
        <w:t>（二）政府采购情况</w:t>
      </w:r>
    </w:p>
    <w:p w14:paraId="734F5752">
      <w:pPr>
        <w:spacing w:line="580" w:lineRule="exact"/>
        <w:ind w:firstLine="640"/>
        <w:jc w:val="both"/>
      </w:pPr>
      <w:r>
        <w:rPr>
          <w:rFonts w:ascii="仿宋_GB2312" w:hAnsi="仿宋_GB2312" w:eastAsia="仿宋_GB2312"/>
          <w:b w:val="0"/>
          <w:sz w:val="32"/>
        </w:rPr>
        <w:t>2024年度政府采购支出总额0.66万元，其中：政府采购货物支出0.00万元、政府采购工程支出0.00万元、政府采购服务支出0.66万元。</w:t>
      </w:r>
    </w:p>
    <w:p w14:paraId="5994476A">
      <w:pPr>
        <w:spacing w:line="580" w:lineRule="exact"/>
        <w:ind w:firstLine="640"/>
        <w:jc w:val="both"/>
      </w:pPr>
      <w:r>
        <w:rPr>
          <w:rFonts w:ascii="仿宋_GB2312" w:hAnsi="仿宋_GB2312" w:eastAsia="仿宋_GB2312"/>
          <w:b w:val="0"/>
          <w:sz w:val="32"/>
        </w:rPr>
        <w:t>授予中小企业合同金额0.66万元，占政府采购支出总额的100.00%，其中：授予小微企业合同金额0.17万元，占政府采购支出总额的25.76%。</w:t>
      </w:r>
    </w:p>
    <w:p w14:paraId="2DED9C3A">
      <w:pPr>
        <w:spacing w:line="640" w:lineRule="exact"/>
        <w:ind w:firstLine="640"/>
        <w:jc w:val="both"/>
        <w:outlineLvl w:val="3"/>
      </w:pPr>
      <w:r>
        <w:rPr>
          <w:rFonts w:ascii="楷体_GB2312" w:hAnsi="楷体_GB2312" w:eastAsia="楷体_GB2312"/>
          <w:b/>
          <w:sz w:val="32"/>
        </w:rPr>
        <w:t>（三）国有资产占用情况说明</w:t>
      </w:r>
    </w:p>
    <w:p w14:paraId="5EC8A130">
      <w:pPr>
        <w:spacing w:line="580" w:lineRule="exact"/>
        <w:ind w:firstLine="640"/>
        <w:jc w:val="both"/>
      </w:pPr>
      <w:r>
        <w:rPr>
          <w:rFonts w:ascii="仿宋_GB2312" w:hAnsi="仿宋_GB2312" w:eastAsia="仿宋_GB2312"/>
          <w:b w:val="0"/>
          <w:sz w:val="32"/>
        </w:rPr>
        <w:t>截至2024年12月31日，房屋0.00平方米，价值0.00万元。车辆1辆，价值14.34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32490842">
      <w:pPr>
        <w:spacing w:line="640" w:lineRule="exact"/>
        <w:ind w:firstLine="640"/>
        <w:jc w:val="both"/>
        <w:outlineLvl w:val="2"/>
      </w:pPr>
      <w:r>
        <w:rPr>
          <w:rFonts w:ascii="黑体" w:hAnsi="黑体" w:eastAsia="黑体"/>
          <w:sz w:val="32"/>
        </w:rPr>
        <w:t>十一、预算绩效的情况说明</w:t>
      </w:r>
    </w:p>
    <w:p w14:paraId="361FAF3E">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59.10万元，实际执行总额56.72万元；预算绩效评价项目2个，全年预算数11.50万元，全年执行数11.45万元。预算绩效管理取得的成效：一是推动科普资源的传播，丰富城乡科普资源提升了农牧民群众的知识普及率；二是进一步提高全县各族群众的科学素质和依靠科技致富增收的能力。发现的问题及原因：一是思想认识不到位、不够重视。把绩效评价工作仅仅当成一项工作任务来完成，预算绩效管理的理念不理解，认识不够；二是填报内容简单，对绩效目标偏差问题缺乏有效分析，还有待进一步提升预算单位整体绩效管理理念。下一步改进措施：一是提高认识，把预算绩效管理与日常工作融为一体；二是健全财务管理体系，完善机关内控机制；三是加强队伍建设。加强业务培训，提升业务素质，提高业务水平；四是合理安排预算支出，保证合理安排全年财政支出。后期将工作责任到人，以确保及时，</w:t>
      </w:r>
      <w:r>
        <w:rPr>
          <w:rFonts w:hint="eastAsia" w:ascii="仿宋_GB2312" w:hAnsi="仿宋_GB2312" w:eastAsia="仿宋_GB2312"/>
          <w:b w:val="0"/>
          <w:sz w:val="32"/>
          <w:lang w:eastAsia="zh-CN"/>
        </w:rPr>
        <w:t>准确</w:t>
      </w:r>
      <w:r>
        <w:rPr>
          <w:rFonts w:ascii="仿宋_GB2312" w:hAnsi="仿宋_GB2312" w:eastAsia="仿宋_GB2312"/>
          <w:b w:val="0"/>
          <w:sz w:val="32"/>
        </w:rPr>
        <w:t>有效落实绩效工作。同时，我单位在自行监督的基础上，结合县财政部门监控，确保沟通顺畅。具体附部门整体支出绩效自评表，项目支出绩效自评表和部门评价报告。</w:t>
      </w:r>
    </w:p>
    <w:p w14:paraId="27ED11B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B78966B">
        <w:tblPrEx>
          <w:tblCellMar>
            <w:top w:w="0" w:type="dxa"/>
            <w:left w:w="108" w:type="dxa"/>
            <w:bottom w:w="0" w:type="dxa"/>
            <w:right w:w="108" w:type="dxa"/>
          </w:tblCellMar>
        </w:tblPrEx>
        <w:tc>
          <w:tcPr>
            <w:tcW w:w="8840" w:type="dxa"/>
            <w:gridSpan w:val="8"/>
            <w:vAlign w:val="center"/>
          </w:tcPr>
          <w:p w14:paraId="1F616AEC">
            <w:pPr>
              <w:jc w:val="center"/>
            </w:pPr>
            <w:r>
              <w:rPr>
                <w:rFonts w:ascii="宋体" w:hAnsi="宋体" w:eastAsia="宋体"/>
                <w:sz w:val="24"/>
              </w:rPr>
              <w:t>部门整体支出绩效自评表</w:t>
            </w:r>
          </w:p>
        </w:tc>
      </w:tr>
      <w:tr w14:paraId="18135E5F">
        <w:tblPrEx>
          <w:tblCellMar>
            <w:top w:w="0" w:type="dxa"/>
            <w:left w:w="108" w:type="dxa"/>
            <w:bottom w:w="0" w:type="dxa"/>
            <w:right w:w="108" w:type="dxa"/>
          </w:tblCellMar>
        </w:tblPrEx>
        <w:tc>
          <w:tcPr>
            <w:tcW w:w="8840" w:type="dxa"/>
            <w:gridSpan w:val="8"/>
            <w:vAlign w:val="center"/>
          </w:tcPr>
          <w:p w14:paraId="3BF8E0A1">
            <w:pPr>
              <w:jc w:val="center"/>
            </w:pPr>
            <w:r>
              <w:rPr>
                <w:rFonts w:ascii="宋体" w:hAnsi="宋体" w:eastAsia="宋体"/>
                <w:sz w:val="24"/>
              </w:rPr>
              <w:t>（2024年度）</w:t>
            </w:r>
          </w:p>
        </w:tc>
      </w:tr>
      <w:tr w14:paraId="01EEBB9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EDDE70">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389F3">
            <w:pPr>
              <w:jc w:val="center"/>
            </w:pPr>
            <w:r>
              <w:rPr>
                <w:rFonts w:ascii="宋体" w:hAnsi="宋体" w:eastAsia="宋体"/>
                <w:sz w:val="16"/>
              </w:rPr>
              <w:t>博湖县科学技术协会</w:t>
            </w:r>
          </w:p>
        </w:tc>
      </w:tr>
      <w:tr w14:paraId="4590F31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0F3A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A420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A92D3F">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A66D5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0747F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DACC7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50A42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D2CD1">
            <w:pPr>
              <w:jc w:val="center"/>
            </w:pPr>
            <w:r>
              <w:rPr>
                <w:rFonts w:ascii="宋体" w:hAnsi="宋体" w:eastAsia="宋体"/>
                <w:sz w:val="16"/>
              </w:rPr>
              <w:t>得分</w:t>
            </w:r>
          </w:p>
        </w:tc>
      </w:tr>
      <w:tr w14:paraId="681B113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CCA50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BDA69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C229EF">
            <w:pPr>
              <w:jc w:val="center"/>
            </w:pPr>
            <w:r>
              <w:rPr>
                <w:rFonts w:ascii="宋体" w:hAnsi="宋体" w:eastAsia="宋体"/>
                <w:sz w:val="16"/>
              </w:rPr>
              <w:t>57.74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9F423A">
            <w:pPr>
              <w:jc w:val="center"/>
            </w:pPr>
            <w:r>
              <w:rPr>
                <w:rFonts w:ascii="宋体" w:hAnsi="宋体" w:eastAsia="宋体"/>
                <w:sz w:val="16"/>
              </w:rPr>
              <w:t>59.10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AEF97D">
            <w:pPr>
              <w:jc w:val="center"/>
            </w:pPr>
            <w:r>
              <w:rPr>
                <w:rFonts w:ascii="宋体" w:hAnsi="宋体" w:eastAsia="宋体"/>
                <w:sz w:val="16"/>
              </w:rPr>
              <w:t>56.72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2C6EA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3A21B">
            <w:pPr>
              <w:jc w:val="center"/>
            </w:pPr>
            <w:r>
              <w:rPr>
                <w:rFonts w:ascii="宋体" w:hAnsi="宋体" w:eastAsia="宋体"/>
                <w:sz w:val="16"/>
              </w:rPr>
              <w:t>95.97%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961C86">
            <w:pPr>
              <w:jc w:val="center"/>
            </w:pPr>
            <w:r>
              <w:rPr>
                <w:rFonts w:ascii="宋体" w:hAnsi="宋体" w:eastAsia="宋体"/>
                <w:sz w:val="16"/>
              </w:rPr>
              <w:t>9.6</w:t>
            </w:r>
          </w:p>
        </w:tc>
      </w:tr>
      <w:tr w14:paraId="4071520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FD7D12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9D4414">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F498B">
            <w:pPr>
              <w:jc w:val="center"/>
            </w:pPr>
            <w:r>
              <w:rPr>
                <w:rFonts w:ascii="宋体" w:hAnsi="宋体" w:eastAsia="宋体"/>
                <w:sz w:val="16"/>
              </w:rPr>
              <w:t>5.50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6687BB">
            <w:pPr>
              <w:jc w:val="center"/>
            </w:pPr>
            <w:r>
              <w:rPr>
                <w:rFonts w:ascii="宋体" w:hAnsi="宋体" w:eastAsia="宋体"/>
                <w:sz w:val="16"/>
              </w:rPr>
              <w:t>3.95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206C6A">
            <w:pPr>
              <w:jc w:val="center"/>
            </w:pPr>
            <w:r>
              <w:rPr>
                <w:rFonts w:ascii="宋体" w:hAnsi="宋体" w:eastAsia="宋体"/>
                <w:sz w:val="16"/>
              </w:rPr>
              <w:t>3.95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F6CC7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E77B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B03D10">
            <w:pPr>
              <w:jc w:val="center"/>
            </w:pPr>
            <w:r>
              <w:rPr>
                <w:rFonts w:ascii="宋体" w:hAnsi="宋体" w:eastAsia="宋体"/>
                <w:sz w:val="16"/>
              </w:rPr>
              <w:t>-</w:t>
            </w:r>
          </w:p>
        </w:tc>
      </w:tr>
      <w:tr w14:paraId="71CA431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19C5D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5F2553">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2A4D3C">
            <w:pPr>
              <w:jc w:val="center"/>
            </w:pPr>
            <w:r>
              <w:rPr>
                <w:rFonts w:ascii="宋体" w:hAnsi="宋体" w:eastAsia="宋体"/>
                <w:sz w:val="16"/>
              </w:rPr>
              <w:t>52.24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8B0076">
            <w:pPr>
              <w:jc w:val="center"/>
            </w:pPr>
            <w:r>
              <w:rPr>
                <w:rFonts w:ascii="宋体" w:hAnsi="宋体" w:eastAsia="宋体"/>
                <w:sz w:val="16"/>
              </w:rPr>
              <w:t>51.52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A05635">
            <w:pPr>
              <w:jc w:val="center"/>
            </w:pPr>
            <w:r>
              <w:rPr>
                <w:rFonts w:ascii="宋体" w:hAnsi="宋体" w:eastAsia="宋体"/>
                <w:sz w:val="16"/>
              </w:rPr>
              <w:t>51.52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B409E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A23B0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17B234">
            <w:pPr>
              <w:jc w:val="center"/>
            </w:pPr>
            <w:r>
              <w:rPr>
                <w:rFonts w:ascii="宋体" w:hAnsi="宋体" w:eastAsia="宋体"/>
                <w:sz w:val="16"/>
              </w:rPr>
              <w:t>-</w:t>
            </w:r>
          </w:p>
        </w:tc>
      </w:tr>
      <w:tr w14:paraId="5384A2A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5FD23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7CE4B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C78EA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AEDE58">
            <w:pPr>
              <w:jc w:val="center"/>
            </w:pPr>
            <w:r>
              <w:rPr>
                <w:rFonts w:ascii="宋体" w:hAnsi="宋体" w:eastAsia="宋体"/>
                <w:sz w:val="16"/>
              </w:rPr>
              <w:t>3.63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CAAC20">
            <w:pPr>
              <w:jc w:val="center"/>
            </w:pPr>
            <w:r>
              <w:rPr>
                <w:rFonts w:ascii="宋体" w:hAnsi="宋体" w:eastAsia="宋体"/>
                <w:sz w:val="16"/>
              </w:rPr>
              <w:t>1.25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8E5A9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1D2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B06D6C">
            <w:pPr>
              <w:jc w:val="center"/>
            </w:pPr>
            <w:r>
              <w:rPr>
                <w:rFonts w:ascii="宋体" w:hAnsi="宋体" w:eastAsia="宋体"/>
                <w:sz w:val="16"/>
              </w:rPr>
              <w:t>-</w:t>
            </w:r>
          </w:p>
        </w:tc>
      </w:tr>
      <w:tr w14:paraId="451729F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CD1DF">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9F17F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63E60F">
            <w:pPr>
              <w:jc w:val="center"/>
            </w:pPr>
            <w:r>
              <w:rPr>
                <w:rFonts w:ascii="宋体" w:hAnsi="宋体" w:eastAsia="宋体"/>
                <w:sz w:val="16"/>
              </w:rPr>
              <w:t>实际完成情况</w:t>
            </w:r>
          </w:p>
        </w:tc>
      </w:tr>
      <w:tr w14:paraId="2078131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00E21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B8BA33">
            <w:pPr>
              <w:jc w:val="both"/>
            </w:pPr>
            <w:r>
              <w:rPr>
                <w:rFonts w:ascii="宋体" w:hAnsi="宋体" w:eastAsia="宋体"/>
                <w:sz w:val="16"/>
              </w:rPr>
              <w:t>通过全面落实党中央、自治区党委决策部署，按照巴州党委，人民政府要求，围绕县委、县人民政府中心工作，开展好“全国科普日”“科技活动周”“全国科技工作者日”等各类科学普及系列活动；实施基层科普行动计划，支持科普组织建设</w:t>
            </w:r>
            <w:r>
              <w:rPr>
                <w:rFonts w:hint="eastAsia" w:ascii="宋体" w:hAnsi="宋体"/>
                <w:sz w:val="16"/>
                <w:lang w:eastAsia="zh-CN"/>
              </w:rPr>
              <w:t>，以</w:t>
            </w:r>
            <w:r>
              <w:rPr>
                <w:rFonts w:ascii="宋体" w:hAnsi="宋体" w:eastAsia="宋体"/>
                <w:sz w:val="16"/>
              </w:rPr>
              <w:t>科技助力乡村振兴，进一步提高我县公民科学素质，团结引领广大科技工作者开拓创新。</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61079D">
            <w:pPr>
              <w:jc w:val="both"/>
            </w:pPr>
            <w:r>
              <w:rPr>
                <w:rFonts w:ascii="宋体" w:hAnsi="宋体" w:eastAsia="宋体"/>
                <w:sz w:val="16"/>
              </w:rPr>
              <w:t>2024年完成“全国科普日”、“科技活动周”、“全国科技工作者日”等各类科学普及系列活动50场次，支持科普服务团队组织1个，开展“农牧民科技节”直播活动1场次。通过各类科普活动开展和科普信息化建设，丰富了公众科学知识和精神生活，进一步提升了我县公民科学素质。</w:t>
            </w:r>
          </w:p>
        </w:tc>
      </w:tr>
      <w:tr w14:paraId="075ECEB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4EF24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2385F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2C922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787F5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790C5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2176F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B1BD2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77E053">
            <w:pPr>
              <w:jc w:val="center"/>
            </w:pPr>
            <w:r>
              <w:rPr>
                <w:rFonts w:ascii="宋体" w:hAnsi="宋体" w:eastAsia="宋体"/>
                <w:sz w:val="16"/>
              </w:rPr>
              <w:t>得分</w:t>
            </w:r>
          </w:p>
        </w:tc>
      </w:tr>
      <w:tr w14:paraId="2EAA2B1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75D4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7B863">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6D928A">
            <w:pPr>
              <w:jc w:val="center"/>
            </w:pPr>
            <w:r>
              <w:rPr>
                <w:rFonts w:ascii="宋体" w:hAnsi="宋体" w:eastAsia="宋体"/>
                <w:sz w:val="16"/>
              </w:rPr>
              <w:t>支持科普服务团队组织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044C3B">
            <w:pPr>
              <w:jc w:val="center"/>
            </w:pPr>
            <w:r>
              <w:rPr>
                <w:rFonts w:ascii="宋体" w:hAnsi="宋体" w:eastAsia="宋体"/>
                <w:sz w:val="16"/>
              </w:rPr>
              <w:t>&gt;=1个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8F0BA6">
            <w:pPr>
              <w:jc w:val="center"/>
            </w:pPr>
            <w:r>
              <w:rPr>
                <w:rFonts w:ascii="宋体" w:hAnsi="宋体" w:eastAsia="宋体"/>
                <w:sz w:val="16"/>
              </w:rPr>
              <w:t>巴财教</w:t>
            </w:r>
            <w:r>
              <w:rPr>
                <w:rFonts w:hint="eastAsia" w:ascii="宋体" w:hAnsi="宋体"/>
                <w:sz w:val="16"/>
                <w:lang w:eastAsia="zh-CN"/>
              </w:rPr>
              <w:t>〔2023〕57号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DE118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454443">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26611D">
            <w:pPr>
              <w:jc w:val="center"/>
            </w:pPr>
            <w:r>
              <w:rPr>
                <w:rFonts w:ascii="宋体" w:hAnsi="宋体" w:eastAsia="宋体"/>
                <w:sz w:val="16"/>
              </w:rPr>
              <w:t>30</w:t>
            </w:r>
          </w:p>
        </w:tc>
      </w:tr>
      <w:tr w14:paraId="5AA8AFD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E3435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B3703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5C78BB">
            <w:pPr>
              <w:jc w:val="center"/>
            </w:pPr>
            <w:r>
              <w:rPr>
                <w:rFonts w:ascii="宋体" w:hAnsi="宋体" w:eastAsia="宋体"/>
                <w:sz w:val="16"/>
              </w:rPr>
              <w:t>开展“全国科普日”、“科技活动周”“科技工作者日”等系列活动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6D02FF">
            <w:pPr>
              <w:jc w:val="center"/>
            </w:pPr>
            <w:r>
              <w:rPr>
                <w:rFonts w:ascii="宋体" w:hAnsi="宋体" w:eastAsia="宋体"/>
                <w:sz w:val="16"/>
              </w:rPr>
              <w:t>&gt;=50场次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649FFA">
            <w:pPr>
              <w:jc w:val="center"/>
            </w:pPr>
            <w:r>
              <w:rPr>
                <w:rFonts w:ascii="宋体" w:hAnsi="宋体" w:eastAsia="宋体"/>
                <w:sz w:val="16"/>
              </w:rPr>
              <w:t>科协2023年工作总结及2024年工作计划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D4C4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E6A13A">
            <w:pPr>
              <w:jc w:val="center"/>
            </w:pPr>
            <w:r>
              <w:rPr>
                <w:rFonts w:ascii="宋体" w:hAnsi="宋体" w:eastAsia="宋体"/>
                <w:sz w:val="16"/>
              </w:rPr>
              <w:t>＝50场次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8A5D2">
            <w:pPr>
              <w:jc w:val="center"/>
            </w:pPr>
            <w:r>
              <w:rPr>
                <w:rFonts w:ascii="宋体" w:hAnsi="宋体" w:eastAsia="宋体"/>
                <w:sz w:val="16"/>
              </w:rPr>
              <w:t>30</w:t>
            </w:r>
          </w:p>
        </w:tc>
      </w:tr>
      <w:tr w14:paraId="5B7A06E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46D00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56FAD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F0F877">
            <w:pPr>
              <w:jc w:val="center"/>
            </w:pPr>
            <w:r>
              <w:rPr>
                <w:rFonts w:ascii="宋体" w:hAnsi="宋体" w:eastAsia="宋体"/>
                <w:sz w:val="16"/>
              </w:rPr>
              <w:t>开展“农牧民科技节”活动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EA0D34">
            <w:pPr>
              <w:jc w:val="center"/>
            </w:pPr>
            <w:r>
              <w:rPr>
                <w:rFonts w:ascii="宋体" w:hAnsi="宋体" w:eastAsia="宋体"/>
                <w:sz w:val="16"/>
              </w:rPr>
              <w:t>&gt;=1场次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C3AD0C">
            <w:pPr>
              <w:jc w:val="center"/>
            </w:pPr>
            <w:r>
              <w:rPr>
                <w:rFonts w:ascii="宋体" w:hAnsi="宋体" w:eastAsia="宋体"/>
                <w:sz w:val="16"/>
              </w:rPr>
              <w:t>科协2023年工作总结及2024年工作计划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3B5DC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34D6A8">
            <w:pPr>
              <w:jc w:val="center"/>
            </w:pPr>
            <w:r>
              <w:rPr>
                <w:rFonts w:ascii="宋体" w:hAnsi="宋体" w:eastAsia="宋体"/>
                <w:sz w:val="16"/>
              </w:rPr>
              <w:t>＝1场次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C471D4">
            <w:pPr>
              <w:jc w:val="center"/>
            </w:pPr>
            <w:r>
              <w:rPr>
                <w:rFonts w:ascii="宋体" w:hAnsi="宋体" w:eastAsia="宋体"/>
                <w:sz w:val="16"/>
              </w:rPr>
              <w:t>30</w:t>
            </w:r>
          </w:p>
        </w:tc>
      </w:tr>
    </w:tbl>
    <w:p w14:paraId="24AC8EA1">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776"/>
        <w:gridCol w:w="592"/>
        <w:gridCol w:w="592"/>
        <w:gridCol w:w="605"/>
        <w:gridCol w:w="592"/>
        <w:gridCol w:w="592"/>
        <w:gridCol w:w="856"/>
        <w:gridCol w:w="776"/>
        <w:gridCol w:w="630"/>
        <w:gridCol w:w="631"/>
      </w:tblGrid>
      <w:tr w14:paraId="54CD83B7">
        <w:tblPrEx>
          <w:tblCellMar>
            <w:top w:w="0" w:type="dxa"/>
            <w:left w:w="108" w:type="dxa"/>
            <w:bottom w:w="0" w:type="dxa"/>
            <w:right w:w="108" w:type="dxa"/>
          </w:tblCellMar>
        </w:tblPrEx>
        <w:tc>
          <w:tcPr>
            <w:tcW w:w="8848" w:type="dxa"/>
            <w:gridSpan w:val="14"/>
            <w:vAlign w:val="center"/>
          </w:tcPr>
          <w:p w14:paraId="761535A3">
            <w:pPr>
              <w:jc w:val="center"/>
            </w:pPr>
            <w:r>
              <w:rPr>
                <w:rFonts w:ascii="宋体" w:hAnsi="宋体" w:eastAsia="宋体"/>
                <w:sz w:val="24"/>
              </w:rPr>
              <w:t>项目支出绩效自评表</w:t>
            </w:r>
          </w:p>
        </w:tc>
      </w:tr>
      <w:tr w14:paraId="5B4CB515">
        <w:tblPrEx>
          <w:tblCellMar>
            <w:top w:w="0" w:type="dxa"/>
            <w:left w:w="108" w:type="dxa"/>
            <w:bottom w:w="0" w:type="dxa"/>
            <w:right w:w="108" w:type="dxa"/>
          </w:tblCellMar>
        </w:tblPrEx>
        <w:tc>
          <w:tcPr>
            <w:tcW w:w="8848" w:type="dxa"/>
            <w:gridSpan w:val="14"/>
            <w:vAlign w:val="center"/>
          </w:tcPr>
          <w:p w14:paraId="4BCB6B75">
            <w:pPr>
              <w:jc w:val="center"/>
            </w:pPr>
            <w:r>
              <w:rPr>
                <w:rFonts w:ascii="宋体" w:hAnsi="宋体" w:eastAsia="宋体"/>
                <w:sz w:val="24"/>
              </w:rPr>
              <w:t>(2024年度)</w:t>
            </w:r>
          </w:p>
        </w:tc>
      </w:tr>
      <w:tr w14:paraId="1EF003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93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AA7D76">
            <w:pPr>
              <w:jc w:val="center"/>
            </w:pPr>
            <w:r>
              <w:rPr>
                <w:rFonts w:ascii="宋体" w:hAnsi="宋体" w:eastAsia="宋体"/>
                <w:sz w:val="16"/>
              </w:rPr>
              <w:t>基层科普行动计划奖补</w:t>
            </w:r>
          </w:p>
        </w:tc>
      </w:tr>
      <w:tr w14:paraId="4F2FF8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DBD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727F5F">
            <w:pPr>
              <w:jc w:val="center"/>
            </w:pPr>
            <w:r>
              <w:rPr>
                <w:rFonts w:ascii="宋体" w:hAnsi="宋体" w:eastAsia="宋体"/>
                <w:sz w:val="16"/>
              </w:rPr>
              <w:t>博湖县科学技术协会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2D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40F936">
            <w:pPr>
              <w:jc w:val="center"/>
            </w:pPr>
            <w:r>
              <w:rPr>
                <w:rFonts w:ascii="宋体" w:hAnsi="宋体" w:eastAsia="宋体"/>
                <w:sz w:val="16"/>
              </w:rPr>
              <w:t>博湖县科学技术协会</w:t>
            </w:r>
          </w:p>
        </w:tc>
      </w:tr>
      <w:tr w14:paraId="2457DC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4BB9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4749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E886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066F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AC7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8C1E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AA5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AD04">
            <w:pPr>
              <w:jc w:val="center"/>
            </w:pPr>
            <w:r>
              <w:rPr>
                <w:rFonts w:ascii="宋体" w:hAnsi="宋体" w:eastAsia="宋体"/>
                <w:sz w:val="16"/>
              </w:rPr>
              <w:t>得分</w:t>
            </w:r>
          </w:p>
        </w:tc>
      </w:tr>
      <w:tr w14:paraId="30BBA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680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F84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094D0">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12429">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1D3CF">
            <w:pPr>
              <w:jc w:val="center"/>
            </w:pPr>
            <w:r>
              <w:rPr>
                <w:rFonts w:ascii="宋体" w:hAnsi="宋体" w:eastAsia="宋体"/>
                <w:sz w:val="16"/>
              </w:rPr>
              <w:t>5.45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D78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276F9">
            <w:pPr>
              <w:jc w:val="center"/>
            </w:pPr>
            <w:r>
              <w:rPr>
                <w:rFonts w:ascii="宋体" w:hAnsi="宋体" w:eastAsia="宋体"/>
                <w:sz w:val="16"/>
              </w:rPr>
              <w:t>99.09%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F477">
            <w:pPr>
              <w:jc w:val="center"/>
            </w:pPr>
            <w:r>
              <w:rPr>
                <w:rFonts w:ascii="宋体" w:hAnsi="宋体" w:eastAsia="宋体"/>
                <w:sz w:val="16"/>
              </w:rPr>
              <w:t>10.00</w:t>
            </w:r>
          </w:p>
        </w:tc>
      </w:tr>
      <w:tr w14:paraId="632A8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672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541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F38AF">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85BB5">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E6C41">
            <w:pPr>
              <w:jc w:val="center"/>
            </w:pPr>
            <w:r>
              <w:rPr>
                <w:rFonts w:ascii="宋体" w:hAnsi="宋体" w:eastAsia="宋体"/>
                <w:sz w:val="16"/>
              </w:rPr>
              <w:t>5.45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F52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47D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9722">
            <w:pPr>
              <w:jc w:val="center"/>
            </w:pPr>
            <w:r>
              <w:rPr>
                <w:rFonts w:ascii="宋体" w:hAnsi="宋体" w:eastAsia="宋体"/>
                <w:sz w:val="16"/>
              </w:rPr>
              <w:t>-</w:t>
            </w:r>
          </w:p>
        </w:tc>
      </w:tr>
      <w:tr w14:paraId="123B86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C9D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3439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3D5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0C1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181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73F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651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8E23">
            <w:pPr>
              <w:jc w:val="center"/>
            </w:pPr>
            <w:r>
              <w:rPr>
                <w:rFonts w:ascii="宋体" w:hAnsi="宋体" w:eastAsia="宋体"/>
                <w:sz w:val="16"/>
              </w:rPr>
              <w:t>-</w:t>
            </w:r>
          </w:p>
        </w:tc>
      </w:tr>
      <w:tr w14:paraId="61296B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8C68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597B8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EBBC7F">
            <w:pPr>
              <w:jc w:val="center"/>
            </w:pPr>
            <w:r>
              <w:rPr>
                <w:rFonts w:ascii="宋体" w:hAnsi="宋体" w:eastAsia="宋体"/>
                <w:sz w:val="16"/>
              </w:rPr>
              <w:t>总体目标完成情况</w:t>
            </w:r>
          </w:p>
        </w:tc>
      </w:tr>
      <w:tr w14:paraId="125F4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DE8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FA20F5">
            <w:pPr>
              <w:jc w:val="both"/>
            </w:pPr>
            <w:r>
              <w:rPr>
                <w:rFonts w:ascii="宋体" w:hAnsi="宋体" w:eastAsia="宋体"/>
                <w:sz w:val="16"/>
              </w:rPr>
              <w:t>根据巴财教</w:t>
            </w:r>
            <w:r>
              <w:rPr>
                <w:rFonts w:hint="eastAsia" w:ascii="宋体" w:hAnsi="宋体"/>
                <w:sz w:val="16"/>
                <w:lang w:eastAsia="zh-CN"/>
              </w:rPr>
              <w:t>〔2023〕57号</w:t>
            </w:r>
            <w:r>
              <w:rPr>
                <w:rFonts w:ascii="宋体" w:hAnsi="宋体" w:eastAsia="宋体"/>
                <w:sz w:val="16"/>
              </w:rPr>
              <w:t>《关于提前下达2024年自治区“基层科普行动计划”资金预算的通知》和巴财教</w:t>
            </w:r>
            <w:r>
              <w:rPr>
                <w:rFonts w:hint="eastAsia" w:ascii="宋体" w:hAnsi="宋体"/>
                <w:sz w:val="16"/>
                <w:lang w:eastAsia="zh-CN"/>
              </w:rPr>
              <w:t>〔2023〕55号</w:t>
            </w:r>
            <w:r>
              <w:rPr>
                <w:rFonts w:ascii="宋体" w:hAnsi="宋体" w:eastAsia="宋体"/>
                <w:sz w:val="16"/>
              </w:rPr>
              <w:t>《关于提前下达2024年自治州乡村科普馆运行管理及“基层科普行动计划”奖补资金的通知》,通过各类科普宣传教育活动32场次的开展，持续在文化广电和公众直播等平台推送科普资讯节目52期，推动乡村科普组织日常科普活动开展，提升基层科普服务理念和方式，发挥科普示范和引领作用，提升基层群众科学素养，不断提升基层科普服务覆盖面和实效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5E1B83">
            <w:pPr>
              <w:jc w:val="both"/>
            </w:pPr>
            <w:r>
              <w:rPr>
                <w:rFonts w:ascii="宋体" w:hAnsi="宋体" w:eastAsia="宋体"/>
                <w:sz w:val="16"/>
              </w:rPr>
              <w:t>开展科技培训等活动32场次，开展科技培训等活动32天，电视台推送科普资讯节目数量52期，参与科技培训等活动人次达1320人，有效提升了基层群众科学素养。推动了博湖县乡村科普组织常态化科普活动的开展，提升了基层科普服务能力。发挥科普示范和引领作用，扩大了基层科普服务的有效覆盖面。</w:t>
            </w:r>
          </w:p>
        </w:tc>
      </w:tr>
      <w:tr w14:paraId="1A3F08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0A0F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DF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1EE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966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2CCE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B94A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8C1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47E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9A8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65E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204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E7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969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5E6D">
            <w:pPr>
              <w:jc w:val="center"/>
            </w:pPr>
            <w:r>
              <w:rPr>
                <w:rFonts w:ascii="宋体" w:hAnsi="宋体" w:eastAsia="宋体"/>
                <w:sz w:val="16"/>
              </w:rPr>
              <w:t>偏差原因分析及改进措施</w:t>
            </w:r>
          </w:p>
        </w:tc>
      </w:tr>
      <w:tr w14:paraId="50B810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452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84A0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EB90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2C3A">
            <w:pPr>
              <w:jc w:val="center"/>
            </w:pPr>
            <w:r>
              <w:rPr>
                <w:rFonts w:ascii="宋体" w:hAnsi="宋体" w:eastAsia="宋体"/>
                <w:sz w:val="16"/>
              </w:rPr>
              <w:t>开展科技培训、讲座、产业指导技术服务等活动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CD62">
            <w:pPr>
              <w:jc w:val="center"/>
            </w:pPr>
            <w:r>
              <w:rPr>
                <w:rFonts w:ascii="宋体" w:hAnsi="宋体" w:eastAsia="宋体"/>
                <w:sz w:val="16"/>
              </w:rPr>
              <w:t>&gt;=32场次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88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1B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7B8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F6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12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5476">
            <w:pPr>
              <w:jc w:val="center"/>
            </w:pPr>
            <w:r>
              <w:rPr>
                <w:rFonts w:ascii="宋体" w:hAnsi="宋体" w:eastAsia="宋体"/>
                <w:sz w:val="16"/>
              </w:rPr>
              <w:t>=32场次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3F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56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2841">
            <w:pPr>
              <w:jc w:val="center"/>
            </w:pPr>
          </w:p>
        </w:tc>
      </w:tr>
      <w:tr w14:paraId="2C355E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38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513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9CA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9D818">
            <w:pPr>
              <w:jc w:val="center"/>
            </w:pPr>
            <w:r>
              <w:rPr>
                <w:rFonts w:ascii="宋体" w:hAnsi="宋体" w:eastAsia="宋体"/>
                <w:sz w:val="16"/>
              </w:rPr>
              <w:t>推送科普资讯、节目等数量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F52B">
            <w:pPr>
              <w:jc w:val="center"/>
            </w:pPr>
            <w:r>
              <w:rPr>
                <w:rFonts w:ascii="宋体" w:hAnsi="宋体" w:eastAsia="宋体"/>
                <w:sz w:val="16"/>
              </w:rPr>
              <w:t>&gt;=52次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61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01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DA9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D7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71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4ACE">
            <w:pPr>
              <w:jc w:val="center"/>
            </w:pPr>
            <w:r>
              <w:rPr>
                <w:rFonts w:ascii="宋体" w:hAnsi="宋体" w:eastAsia="宋体"/>
                <w:sz w:val="16"/>
              </w:rPr>
              <w:t>=52次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D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C4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99D41">
            <w:pPr>
              <w:jc w:val="center"/>
            </w:pPr>
          </w:p>
        </w:tc>
      </w:tr>
      <w:tr w14:paraId="52B9E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B73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1A6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2F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EF8C">
            <w:pPr>
              <w:jc w:val="center"/>
            </w:pPr>
            <w:r>
              <w:rPr>
                <w:rFonts w:ascii="宋体" w:hAnsi="宋体" w:eastAsia="宋体"/>
                <w:sz w:val="16"/>
              </w:rPr>
              <w:t>开展科技培训、讲座、产业指导技术服务等活动天数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0ADE">
            <w:pPr>
              <w:jc w:val="center"/>
            </w:pPr>
            <w:r>
              <w:rPr>
                <w:rFonts w:ascii="宋体" w:hAnsi="宋体" w:eastAsia="宋体"/>
                <w:sz w:val="16"/>
              </w:rPr>
              <w:t>&gt;=32天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D8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8F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F5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D7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BA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B1AB">
            <w:pPr>
              <w:jc w:val="center"/>
            </w:pPr>
            <w:r>
              <w:rPr>
                <w:rFonts w:ascii="宋体" w:hAnsi="宋体" w:eastAsia="宋体"/>
                <w:sz w:val="16"/>
              </w:rPr>
              <w:t>=32天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77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495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E524E">
            <w:pPr>
              <w:jc w:val="center"/>
            </w:pPr>
          </w:p>
        </w:tc>
      </w:tr>
      <w:tr w14:paraId="208139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21D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C33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A0C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88D6">
            <w:pPr>
              <w:jc w:val="center"/>
            </w:pPr>
            <w:r>
              <w:rPr>
                <w:rFonts w:ascii="宋体" w:hAnsi="宋体" w:eastAsia="宋体"/>
                <w:sz w:val="16"/>
              </w:rPr>
              <w:t>参与科技培训、讲座、产业指导技术服务等活动人次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E8C9">
            <w:pPr>
              <w:jc w:val="center"/>
            </w:pPr>
            <w:r>
              <w:rPr>
                <w:rFonts w:ascii="宋体" w:hAnsi="宋体" w:eastAsia="宋体"/>
                <w:sz w:val="16"/>
              </w:rPr>
              <w:t>&gt;=1320人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28D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59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9CE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16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ED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E068">
            <w:pPr>
              <w:jc w:val="center"/>
            </w:pPr>
            <w:r>
              <w:rPr>
                <w:rFonts w:ascii="宋体" w:hAnsi="宋体" w:eastAsia="宋体"/>
                <w:sz w:val="16"/>
              </w:rPr>
              <w:t>=1320人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C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CC4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3BEE2">
            <w:pPr>
              <w:jc w:val="center"/>
            </w:pPr>
          </w:p>
        </w:tc>
      </w:tr>
      <w:tr w14:paraId="1C2EDD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6C6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F6B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95F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329E">
            <w:pPr>
              <w:jc w:val="center"/>
            </w:pPr>
            <w:r>
              <w:rPr>
                <w:rFonts w:ascii="宋体" w:hAnsi="宋体" w:eastAsia="宋体"/>
                <w:sz w:val="16"/>
              </w:rPr>
              <w:t>科普经费规范使用合格率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C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28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75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5B1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1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EE8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1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6B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B9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7A61">
            <w:pPr>
              <w:jc w:val="center"/>
            </w:pPr>
          </w:p>
        </w:tc>
      </w:tr>
      <w:tr w14:paraId="687735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80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72D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C19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F23F">
            <w:pPr>
              <w:jc w:val="center"/>
            </w:pPr>
            <w:r>
              <w:rPr>
                <w:rFonts w:ascii="宋体" w:hAnsi="宋体" w:eastAsia="宋体"/>
                <w:sz w:val="16"/>
              </w:rPr>
              <w:t>科技培训、讲座、产业指导技术服务等活动参与率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A8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AF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C5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81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298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C47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423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BCB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64A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F0B4">
            <w:pPr>
              <w:jc w:val="center"/>
            </w:pPr>
          </w:p>
        </w:tc>
      </w:tr>
      <w:tr w14:paraId="4D2275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900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FBF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D82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7BDC">
            <w:pPr>
              <w:jc w:val="center"/>
            </w:pPr>
            <w:r>
              <w:rPr>
                <w:rFonts w:ascii="宋体" w:hAnsi="宋体" w:eastAsia="宋体"/>
                <w:sz w:val="16"/>
              </w:rPr>
              <w:t>科普资讯节目信息化服务成本支付及时率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08E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87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F6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A5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6BD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72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FC4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D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C9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6BB0">
            <w:pPr>
              <w:jc w:val="center"/>
            </w:pPr>
          </w:p>
        </w:tc>
      </w:tr>
      <w:tr w14:paraId="246C4E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33E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F15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328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9AA0">
            <w:pPr>
              <w:jc w:val="center"/>
            </w:pPr>
            <w:r>
              <w:rPr>
                <w:rFonts w:ascii="宋体" w:hAnsi="宋体" w:eastAsia="宋体"/>
                <w:sz w:val="16"/>
              </w:rPr>
              <w:t>科技培训、讲座、产业指导技术服务等活动按时完成率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3D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0A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B63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BE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832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A8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ED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AF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F8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8FD3">
            <w:pPr>
              <w:jc w:val="center"/>
            </w:pPr>
          </w:p>
        </w:tc>
      </w:tr>
      <w:tr w14:paraId="2CA9E9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97E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045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46B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D6E9">
            <w:pPr>
              <w:jc w:val="center"/>
            </w:pPr>
            <w:r>
              <w:rPr>
                <w:rFonts w:ascii="宋体" w:hAnsi="宋体" w:eastAsia="宋体"/>
                <w:sz w:val="16"/>
              </w:rPr>
              <w:t>科普资讯、节目信息化服务成本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FF645">
            <w:pPr>
              <w:jc w:val="center"/>
            </w:pPr>
            <w:r>
              <w:rPr>
                <w:rFonts w:ascii="宋体" w:hAnsi="宋体" w:eastAsia="宋体"/>
                <w:sz w:val="16"/>
              </w:rPr>
              <w:t>&lt;=15000元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D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E4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EF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5C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7A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A11A">
            <w:pPr>
              <w:jc w:val="center"/>
            </w:pPr>
            <w:r>
              <w:rPr>
                <w:rFonts w:ascii="宋体" w:hAnsi="宋体" w:eastAsia="宋体"/>
                <w:sz w:val="16"/>
              </w:rPr>
              <w:t>=15000元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6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68F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1D60">
            <w:pPr>
              <w:jc w:val="center"/>
            </w:pPr>
          </w:p>
        </w:tc>
      </w:tr>
      <w:tr w14:paraId="554B94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3CF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0AD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433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610B">
            <w:pPr>
              <w:jc w:val="center"/>
            </w:pPr>
            <w:r>
              <w:rPr>
                <w:rFonts w:ascii="宋体" w:hAnsi="宋体" w:eastAsia="宋体"/>
                <w:sz w:val="16"/>
              </w:rPr>
              <w:t>每场科普活动成本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89A7">
            <w:pPr>
              <w:jc w:val="center"/>
            </w:pPr>
            <w:r>
              <w:rPr>
                <w:rFonts w:ascii="宋体" w:hAnsi="宋体" w:eastAsia="宋体"/>
                <w:sz w:val="16"/>
              </w:rPr>
              <w:t>&lt;=1250元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30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38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33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FE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45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4364">
            <w:pPr>
              <w:jc w:val="center"/>
            </w:pPr>
            <w:r>
              <w:rPr>
                <w:rFonts w:ascii="宋体" w:hAnsi="宋体" w:eastAsia="宋体"/>
                <w:sz w:val="16"/>
              </w:rPr>
              <w:t>=1234.44元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6B6D5">
            <w:pPr>
              <w:jc w:val="center"/>
            </w:pPr>
            <w:r>
              <w:rPr>
                <w:rFonts w:ascii="宋体" w:hAnsi="宋体" w:eastAsia="宋体"/>
                <w:sz w:val="16"/>
              </w:rPr>
              <w:t>98.76%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F4B49">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DA3C">
            <w:pPr>
              <w:jc w:val="center"/>
            </w:pPr>
            <w:r>
              <w:rPr>
                <w:rFonts w:ascii="宋体" w:hAnsi="宋体" w:eastAsia="宋体"/>
                <w:sz w:val="16"/>
              </w:rPr>
              <w:t>偏差原因：部分资金正在走支付流程，暂未支付；改进措施：积极与财政部门沟通，尽快支付。</w:t>
            </w:r>
          </w:p>
        </w:tc>
      </w:tr>
      <w:tr w14:paraId="3AD488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AFF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2DC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E0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045E">
            <w:pPr>
              <w:jc w:val="center"/>
            </w:pPr>
            <w:r>
              <w:rPr>
                <w:rFonts w:ascii="宋体" w:hAnsi="宋体" w:eastAsia="宋体"/>
                <w:sz w:val="16"/>
              </w:rPr>
              <w:t>加强基层科普服务能力，提升引领示范作用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F8E3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71E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2D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41E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E3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073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BC8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0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7F2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FF48">
            <w:pPr>
              <w:jc w:val="center"/>
            </w:pPr>
          </w:p>
        </w:tc>
      </w:tr>
      <w:tr w14:paraId="6854C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85D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59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2E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95E8">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6C5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D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1A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48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A5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6F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C04C">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0E8E2">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A06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4902">
            <w:pPr>
              <w:jc w:val="center"/>
            </w:pPr>
            <w:r>
              <w:rPr>
                <w:rFonts w:ascii="宋体" w:hAnsi="宋体" w:eastAsia="宋体"/>
                <w:sz w:val="16"/>
              </w:rPr>
              <w:t>偏差原因：受益群众满意度为92%。改进措施：从严从高设置绩效指标。</w:t>
            </w:r>
          </w:p>
        </w:tc>
      </w:tr>
      <w:tr w14:paraId="2C9006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712F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1A1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538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AA0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8E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7DAD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DA3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C45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7ED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AB73">
            <w:pPr>
              <w:jc w:val="center"/>
            </w:pPr>
            <w:r>
              <w:rPr>
                <w:rFonts w:ascii="宋体" w:hAnsi="宋体" w:eastAsia="宋体"/>
                <w:sz w:val="16"/>
              </w:rPr>
              <w:t>99.88分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67C8A"/>
        </w:tc>
      </w:tr>
    </w:tbl>
    <w:p w14:paraId="7CBF3FDF">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5"/>
        <w:gridCol w:w="622"/>
        <w:gridCol w:w="776"/>
        <w:gridCol w:w="605"/>
        <w:gridCol w:w="605"/>
        <w:gridCol w:w="613"/>
        <w:gridCol w:w="605"/>
        <w:gridCol w:w="605"/>
        <w:gridCol w:w="696"/>
        <w:gridCol w:w="776"/>
        <w:gridCol w:w="630"/>
        <w:gridCol w:w="696"/>
      </w:tblGrid>
      <w:tr w14:paraId="4AB819AA">
        <w:tblPrEx>
          <w:tblCellMar>
            <w:top w:w="0" w:type="dxa"/>
            <w:left w:w="108" w:type="dxa"/>
            <w:bottom w:w="0" w:type="dxa"/>
            <w:right w:w="108" w:type="dxa"/>
          </w:tblCellMar>
        </w:tblPrEx>
        <w:tc>
          <w:tcPr>
            <w:tcW w:w="8848" w:type="dxa"/>
            <w:gridSpan w:val="14"/>
            <w:vAlign w:val="center"/>
          </w:tcPr>
          <w:p w14:paraId="4B1F05BA">
            <w:pPr>
              <w:jc w:val="center"/>
            </w:pPr>
            <w:r>
              <w:rPr>
                <w:rFonts w:ascii="宋体" w:hAnsi="宋体" w:eastAsia="宋体"/>
                <w:sz w:val="24"/>
              </w:rPr>
              <w:t>项目支出绩效自评表</w:t>
            </w:r>
          </w:p>
        </w:tc>
      </w:tr>
      <w:tr w14:paraId="4481563B">
        <w:tblPrEx>
          <w:tblCellMar>
            <w:top w:w="0" w:type="dxa"/>
            <w:left w:w="108" w:type="dxa"/>
            <w:bottom w:w="0" w:type="dxa"/>
            <w:right w:w="108" w:type="dxa"/>
          </w:tblCellMar>
        </w:tblPrEx>
        <w:tc>
          <w:tcPr>
            <w:tcW w:w="8848" w:type="dxa"/>
            <w:gridSpan w:val="14"/>
            <w:vAlign w:val="center"/>
          </w:tcPr>
          <w:p w14:paraId="09E40DAA">
            <w:pPr>
              <w:jc w:val="center"/>
            </w:pPr>
            <w:r>
              <w:rPr>
                <w:rFonts w:ascii="宋体" w:hAnsi="宋体" w:eastAsia="宋体"/>
                <w:sz w:val="24"/>
              </w:rPr>
              <w:t>(2024年度)</w:t>
            </w:r>
          </w:p>
        </w:tc>
      </w:tr>
      <w:tr w14:paraId="708534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1A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3FF57C">
            <w:pPr>
              <w:jc w:val="center"/>
            </w:pPr>
            <w:r>
              <w:rPr>
                <w:rFonts w:ascii="宋体" w:hAnsi="宋体" w:eastAsia="宋体"/>
                <w:sz w:val="16"/>
              </w:rPr>
              <w:t>自治州乡村科普馆运行管理补助</w:t>
            </w:r>
          </w:p>
        </w:tc>
      </w:tr>
      <w:tr w14:paraId="418283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4B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0D69C5">
            <w:pPr>
              <w:jc w:val="center"/>
            </w:pPr>
            <w:r>
              <w:rPr>
                <w:rFonts w:ascii="宋体" w:hAnsi="宋体" w:eastAsia="宋体"/>
                <w:sz w:val="16"/>
              </w:rPr>
              <w:t>博湖县科学技术协会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3F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EFCEA0">
            <w:pPr>
              <w:jc w:val="center"/>
            </w:pPr>
            <w:r>
              <w:rPr>
                <w:rFonts w:ascii="宋体" w:hAnsi="宋体" w:eastAsia="宋体"/>
                <w:sz w:val="16"/>
              </w:rPr>
              <w:t>博湖县科学技术协会</w:t>
            </w:r>
          </w:p>
        </w:tc>
      </w:tr>
      <w:tr w14:paraId="33FBC9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C0B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A2D1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1A6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5FD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674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A611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E4A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0856">
            <w:pPr>
              <w:jc w:val="center"/>
            </w:pPr>
            <w:r>
              <w:rPr>
                <w:rFonts w:ascii="宋体" w:hAnsi="宋体" w:eastAsia="宋体"/>
                <w:sz w:val="16"/>
              </w:rPr>
              <w:t>得分</w:t>
            </w:r>
          </w:p>
        </w:tc>
      </w:tr>
      <w:tr w14:paraId="04F99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6A4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BABB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BC86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ED174">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A2AE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F18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5F11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2E92F">
            <w:pPr>
              <w:jc w:val="center"/>
            </w:pPr>
            <w:r>
              <w:rPr>
                <w:rFonts w:ascii="宋体" w:hAnsi="宋体" w:eastAsia="宋体"/>
                <w:sz w:val="16"/>
              </w:rPr>
              <w:t>10.00</w:t>
            </w:r>
          </w:p>
        </w:tc>
      </w:tr>
      <w:tr w14:paraId="5511F2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399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1CB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2E708">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97F4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0832C">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2F7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DE8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2D49">
            <w:pPr>
              <w:jc w:val="center"/>
            </w:pPr>
            <w:r>
              <w:rPr>
                <w:rFonts w:ascii="宋体" w:hAnsi="宋体" w:eastAsia="宋体"/>
                <w:sz w:val="16"/>
              </w:rPr>
              <w:t>-</w:t>
            </w:r>
          </w:p>
        </w:tc>
      </w:tr>
      <w:tr w14:paraId="6F03B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0C3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2EA2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85C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109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B18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62D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7ED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DFC7">
            <w:pPr>
              <w:jc w:val="center"/>
            </w:pPr>
            <w:r>
              <w:rPr>
                <w:rFonts w:ascii="宋体" w:hAnsi="宋体" w:eastAsia="宋体"/>
                <w:sz w:val="16"/>
              </w:rPr>
              <w:t>-</w:t>
            </w:r>
          </w:p>
        </w:tc>
      </w:tr>
      <w:tr w14:paraId="442092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125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FA47A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4DF711">
            <w:pPr>
              <w:jc w:val="center"/>
            </w:pPr>
            <w:r>
              <w:rPr>
                <w:rFonts w:ascii="宋体" w:hAnsi="宋体" w:eastAsia="宋体"/>
                <w:sz w:val="16"/>
              </w:rPr>
              <w:t>总体目标完成情况</w:t>
            </w:r>
          </w:p>
        </w:tc>
      </w:tr>
      <w:tr w14:paraId="6A4C0B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C9BF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53F58D">
            <w:pPr>
              <w:jc w:val="both"/>
            </w:pPr>
            <w:r>
              <w:rPr>
                <w:rFonts w:hint="eastAsia" w:ascii="宋体" w:hAnsi="宋体"/>
                <w:sz w:val="16"/>
                <w:lang w:eastAsia="zh-CN"/>
              </w:rPr>
              <w:t>1.</w:t>
            </w:r>
            <w:bookmarkStart w:id="0" w:name="_GoBack"/>
            <w:bookmarkEnd w:id="0"/>
            <w:r>
              <w:rPr>
                <w:rFonts w:ascii="宋体" w:hAnsi="宋体" w:eastAsia="宋体"/>
                <w:sz w:val="16"/>
              </w:rPr>
              <w:t>通过实施项目，对全县3个乡村科普馆在提升改造，运转维护，水电暖网费用进行补贴，以保障举办科普宣传活动、技术培训、科技咨询交流活动192场次，参与人次达3100人次，切实提高公民科学素质。2、通过开展科普活动，能有效提高人民群众整体科学素质，保障乡村科普馆在科普宣传活动中积极发挥作用，提高农牧民群众科普知识，提升科学认知，促进农业农村发展，为推动乡村振兴奠定良好基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74A444">
            <w:pPr>
              <w:jc w:val="both"/>
            </w:pPr>
            <w:r>
              <w:rPr>
                <w:rFonts w:ascii="宋体" w:hAnsi="宋体" w:eastAsia="宋体"/>
                <w:sz w:val="16"/>
              </w:rPr>
              <w:t>保障乡村科普馆维护运转数量3个，开展科普宣传活动192场次，覆盖群众人次达3100人次。通过乡村科普馆科普活动开展，有效提高了博湖县公众整体科学素质，进一步丰富了农牧民群众科普知识，为农村农业发展，乡村振兴提供了科学思想支撑。</w:t>
            </w:r>
          </w:p>
        </w:tc>
      </w:tr>
      <w:tr w14:paraId="60952B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A385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02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E5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1F6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767D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77ED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40C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92F7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10B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381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4819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89C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95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C942">
            <w:pPr>
              <w:jc w:val="center"/>
            </w:pPr>
            <w:r>
              <w:rPr>
                <w:rFonts w:ascii="宋体" w:hAnsi="宋体" w:eastAsia="宋体"/>
                <w:sz w:val="16"/>
              </w:rPr>
              <w:t>偏差原因分析及改进措施</w:t>
            </w:r>
          </w:p>
        </w:tc>
      </w:tr>
      <w:tr w14:paraId="3B712C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65E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9B1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31071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EE09D">
            <w:pPr>
              <w:jc w:val="center"/>
            </w:pPr>
            <w:r>
              <w:rPr>
                <w:rFonts w:ascii="宋体" w:hAnsi="宋体" w:eastAsia="宋体"/>
                <w:sz w:val="16"/>
              </w:rPr>
              <w:t>科普馆维护运转数量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2F29">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80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0D71E">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D3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B2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1C0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1266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E78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6FA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2F90">
            <w:pPr>
              <w:jc w:val="center"/>
            </w:pPr>
          </w:p>
        </w:tc>
      </w:tr>
      <w:tr w14:paraId="17CF65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65E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B33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169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54DF2">
            <w:pPr>
              <w:jc w:val="center"/>
            </w:pPr>
            <w:r>
              <w:rPr>
                <w:rFonts w:ascii="宋体" w:hAnsi="宋体" w:eastAsia="宋体"/>
                <w:sz w:val="16"/>
              </w:rPr>
              <w:t>乡村科普馆开展科普宣传活动场次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36D2D">
            <w:pPr>
              <w:jc w:val="center"/>
            </w:pPr>
            <w:r>
              <w:rPr>
                <w:rFonts w:ascii="宋体" w:hAnsi="宋体" w:eastAsia="宋体"/>
                <w:sz w:val="16"/>
              </w:rPr>
              <w:t>&gt;=192场次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71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C29C">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723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C75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7E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DFCB">
            <w:pPr>
              <w:jc w:val="center"/>
            </w:pPr>
            <w:r>
              <w:rPr>
                <w:rFonts w:ascii="宋体" w:hAnsi="宋体" w:eastAsia="宋体"/>
                <w:sz w:val="16"/>
              </w:rPr>
              <w:t>=192场次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02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EC8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9EC4">
            <w:pPr>
              <w:jc w:val="center"/>
            </w:pPr>
          </w:p>
        </w:tc>
      </w:tr>
      <w:tr w14:paraId="3F5D17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1E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00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D0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331C">
            <w:pPr>
              <w:jc w:val="center"/>
            </w:pPr>
            <w:r>
              <w:rPr>
                <w:rFonts w:ascii="宋体" w:hAnsi="宋体" w:eastAsia="宋体"/>
                <w:sz w:val="16"/>
              </w:rPr>
              <w:t>覆盖群众人次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30C6E">
            <w:pPr>
              <w:jc w:val="center"/>
            </w:pPr>
            <w:r>
              <w:rPr>
                <w:rFonts w:ascii="宋体" w:hAnsi="宋体" w:eastAsia="宋体"/>
                <w:sz w:val="16"/>
              </w:rPr>
              <w:t>&gt;=3100人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88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BFAB">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353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D7F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4A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43FF">
            <w:pPr>
              <w:jc w:val="center"/>
            </w:pPr>
            <w:r>
              <w:rPr>
                <w:rFonts w:ascii="宋体" w:hAnsi="宋体" w:eastAsia="宋体"/>
                <w:sz w:val="16"/>
              </w:rPr>
              <w:t>=3100人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21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97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1C2A">
            <w:pPr>
              <w:jc w:val="center"/>
            </w:pPr>
          </w:p>
        </w:tc>
      </w:tr>
      <w:tr w14:paraId="64A78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E5A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D28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C3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3720">
            <w:pPr>
              <w:jc w:val="center"/>
            </w:pPr>
            <w:r>
              <w:rPr>
                <w:rFonts w:ascii="宋体" w:hAnsi="宋体" w:eastAsia="宋体"/>
                <w:sz w:val="16"/>
              </w:rPr>
              <w:t>科普经费规范使用合规率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3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E8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65B58">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843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924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20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2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0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9D2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E074">
            <w:pPr>
              <w:jc w:val="center"/>
            </w:pPr>
          </w:p>
        </w:tc>
      </w:tr>
      <w:tr w14:paraId="18749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3A8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21D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D5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14A3B">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B58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0C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73B1">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010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9C4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5E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7B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0E4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CA29">
            <w:pPr>
              <w:jc w:val="center"/>
            </w:pPr>
            <w:r>
              <w:rPr>
                <w:rFonts w:ascii="宋体" w:hAnsi="宋体" w:eastAsia="宋体"/>
                <w:sz w:val="16"/>
              </w:rPr>
              <w:t>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FCF7">
            <w:pPr>
              <w:jc w:val="center"/>
            </w:pPr>
            <w:r>
              <w:rPr>
                <w:rFonts w:ascii="宋体" w:hAnsi="宋体" w:eastAsia="宋体"/>
                <w:sz w:val="16"/>
              </w:rPr>
              <w:t>偏差原因：资金支付及时率为100%。改进措施：从严从高设置绩效指标。</w:t>
            </w:r>
          </w:p>
        </w:tc>
      </w:tr>
      <w:tr w14:paraId="7C0BE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51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657A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EDD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AEEE3">
            <w:pPr>
              <w:jc w:val="center"/>
            </w:pPr>
            <w:r>
              <w:rPr>
                <w:rFonts w:ascii="宋体" w:hAnsi="宋体" w:eastAsia="宋体"/>
                <w:sz w:val="16"/>
              </w:rPr>
              <w:t>每个科普馆运行管理成本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FE51B">
            <w:pPr>
              <w:jc w:val="center"/>
            </w:pPr>
            <w:r>
              <w:rPr>
                <w:rFonts w:ascii="宋体" w:hAnsi="宋体" w:eastAsia="宋体"/>
                <w:sz w:val="16"/>
              </w:rPr>
              <w:t>&lt;=20000元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5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C882">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EF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81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99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E4F2D">
            <w:pPr>
              <w:jc w:val="center"/>
            </w:pPr>
            <w:r>
              <w:rPr>
                <w:rFonts w:ascii="宋体" w:hAnsi="宋体" w:eastAsia="宋体"/>
                <w:sz w:val="16"/>
              </w:rPr>
              <w:t>=20000元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9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771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9415">
            <w:pPr>
              <w:jc w:val="center"/>
            </w:pPr>
            <w:r>
              <w:rPr>
                <w:rFonts w:ascii="宋体" w:hAnsi="宋体" w:eastAsia="宋体"/>
                <w:sz w:val="16"/>
              </w:rPr>
              <w:t>偏差原因：预算不够精准，导致资金未能全额支付。改进措施：精准预算，按时完成资金支付。</w:t>
            </w:r>
          </w:p>
        </w:tc>
      </w:tr>
      <w:tr w14:paraId="53027F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094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C1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49A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7EDA4">
            <w:pPr>
              <w:jc w:val="center"/>
            </w:pPr>
            <w:r>
              <w:rPr>
                <w:rFonts w:ascii="宋体" w:hAnsi="宋体" w:eastAsia="宋体"/>
                <w:sz w:val="16"/>
              </w:rPr>
              <w:t>保证基层乡村科普馆有效运转，积极发挥乡村科普示范作用，有效提升全民科学素质。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97A5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98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91C2">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4F7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98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39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279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7E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B5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5BE8">
            <w:pPr>
              <w:jc w:val="center"/>
            </w:pPr>
          </w:p>
        </w:tc>
      </w:tr>
      <w:tr w14:paraId="243EDD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37B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A4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DF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6A13">
            <w:pPr>
              <w:jc w:val="center"/>
            </w:pPr>
            <w:r>
              <w:rPr>
                <w:rFonts w:ascii="宋体" w:hAnsi="宋体" w:eastAsia="宋体"/>
                <w:sz w:val="16"/>
              </w:rPr>
              <w:t>参与基层科普活动的社会公众满意度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998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777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8E76">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94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394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500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E560">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F805">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56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89D3">
            <w:pPr>
              <w:jc w:val="center"/>
            </w:pPr>
            <w:r>
              <w:rPr>
                <w:rFonts w:ascii="宋体" w:hAnsi="宋体" w:eastAsia="宋体"/>
                <w:sz w:val="16"/>
              </w:rPr>
              <w:t>偏差原因：参与基层科普活动的社会公众满意度为92%。改进措施：从严从高设置绩效指标。</w:t>
            </w:r>
          </w:p>
        </w:tc>
      </w:tr>
      <w:tr w14:paraId="335CED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F778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B0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913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623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35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B7C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062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F5B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7C60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FCC7">
            <w:pPr>
              <w:jc w:val="center"/>
            </w:pPr>
            <w:r>
              <w:rPr>
                <w:rFonts w:ascii="宋体" w:hAnsi="宋体" w:eastAsia="宋体"/>
                <w:sz w:val="16"/>
              </w:rPr>
              <w:t>99.11分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5CB058"/>
        </w:tc>
      </w:tr>
    </w:tbl>
    <w:p w14:paraId="66749032">
      <w:r>
        <w:br w:type="page"/>
      </w:r>
    </w:p>
    <w:p w14:paraId="7F87116B">
      <w:pPr>
        <w:spacing w:line="640" w:lineRule="exact"/>
        <w:ind w:firstLine="640"/>
        <w:jc w:val="both"/>
        <w:outlineLvl w:val="2"/>
      </w:pPr>
      <w:r>
        <w:rPr>
          <w:rFonts w:ascii="黑体" w:hAnsi="黑体" w:eastAsia="黑体"/>
          <w:sz w:val="32"/>
        </w:rPr>
        <w:t>十二、其他需说明的事项</w:t>
      </w:r>
    </w:p>
    <w:p w14:paraId="4E8DB05A">
      <w:pPr>
        <w:spacing w:line="580" w:lineRule="exact"/>
        <w:ind w:firstLine="640"/>
        <w:jc w:val="both"/>
      </w:pPr>
      <w:r>
        <w:rPr>
          <w:rFonts w:ascii="仿宋_GB2312" w:hAnsi="仿宋_GB2312" w:eastAsia="仿宋_GB2312"/>
          <w:b w:val="0"/>
          <w:sz w:val="32"/>
        </w:rPr>
        <w:t>本部门无其他需说明的事项。</w:t>
      </w:r>
    </w:p>
    <w:p w14:paraId="42D281FC">
      <w:r>
        <w:br w:type="page"/>
      </w:r>
    </w:p>
    <w:p w14:paraId="24D84BB0">
      <w:pPr>
        <w:spacing w:line="240" w:lineRule="auto"/>
        <w:jc w:val="center"/>
        <w:outlineLvl w:val="1"/>
      </w:pPr>
      <w:r>
        <w:rPr>
          <w:rFonts w:ascii="黑体" w:hAnsi="黑体" w:eastAsia="黑体"/>
          <w:sz w:val="32"/>
        </w:rPr>
        <w:t>第三部分 专业名词解释</w:t>
      </w:r>
    </w:p>
    <w:p w14:paraId="528F81D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B5FD12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912B13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FF72AC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1B0292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D1C8A8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9B2B91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E4A343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239806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9061BC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49AF40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AE9336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A648A1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85F2F2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A3AFC78">
      <w:r>
        <w:br w:type="page"/>
      </w:r>
    </w:p>
    <w:p w14:paraId="4C657065">
      <w:pPr>
        <w:spacing w:line="240" w:lineRule="auto"/>
        <w:jc w:val="center"/>
        <w:outlineLvl w:val="1"/>
      </w:pPr>
      <w:r>
        <w:rPr>
          <w:rFonts w:ascii="黑体" w:hAnsi="黑体" w:eastAsia="黑体"/>
          <w:sz w:val="32"/>
        </w:rPr>
        <w:t>第四部分 部门决算报表（见附表）</w:t>
      </w:r>
    </w:p>
    <w:p w14:paraId="39AFB9B8">
      <w:pPr>
        <w:spacing w:line="240" w:lineRule="auto"/>
        <w:ind w:firstLine="640"/>
        <w:jc w:val="both"/>
      </w:pPr>
      <w:r>
        <w:rPr>
          <w:rFonts w:ascii="仿宋_GB2312" w:hAnsi="仿宋_GB2312" w:eastAsia="仿宋_GB2312"/>
          <w:b w:val="0"/>
          <w:sz w:val="32"/>
        </w:rPr>
        <w:t>一、《收入支出决算总表》</w:t>
      </w:r>
    </w:p>
    <w:p w14:paraId="26B3E4A7">
      <w:pPr>
        <w:spacing w:line="240" w:lineRule="auto"/>
        <w:ind w:firstLine="640"/>
        <w:jc w:val="both"/>
      </w:pPr>
      <w:r>
        <w:rPr>
          <w:rFonts w:ascii="仿宋_GB2312" w:hAnsi="仿宋_GB2312" w:eastAsia="仿宋_GB2312"/>
          <w:b w:val="0"/>
          <w:sz w:val="32"/>
        </w:rPr>
        <w:t>二、《收入决算表》</w:t>
      </w:r>
    </w:p>
    <w:p w14:paraId="64CF771A">
      <w:pPr>
        <w:spacing w:line="240" w:lineRule="auto"/>
        <w:ind w:firstLine="640"/>
        <w:jc w:val="both"/>
      </w:pPr>
      <w:r>
        <w:rPr>
          <w:rFonts w:ascii="仿宋_GB2312" w:hAnsi="仿宋_GB2312" w:eastAsia="仿宋_GB2312"/>
          <w:b w:val="0"/>
          <w:sz w:val="32"/>
        </w:rPr>
        <w:t>三、《支出决算表》</w:t>
      </w:r>
    </w:p>
    <w:p w14:paraId="2C80C581">
      <w:pPr>
        <w:spacing w:line="240" w:lineRule="auto"/>
        <w:ind w:firstLine="640"/>
        <w:jc w:val="both"/>
      </w:pPr>
      <w:r>
        <w:rPr>
          <w:rFonts w:ascii="仿宋_GB2312" w:hAnsi="仿宋_GB2312" w:eastAsia="仿宋_GB2312"/>
          <w:b w:val="0"/>
          <w:sz w:val="32"/>
        </w:rPr>
        <w:t>四、《财政拨款收入支出决算总表》</w:t>
      </w:r>
    </w:p>
    <w:p w14:paraId="45CF75D5">
      <w:pPr>
        <w:spacing w:line="240" w:lineRule="auto"/>
        <w:ind w:firstLine="640"/>
        <w:jc w:val="both"/>
      </w:pPr>
      <w:r>
        <w:rPr>
          <w:rFonts w:ascii="仿宋_GB2312" w:hAnsi="仿宋_GB2312" w:eastAsia="仿宋_GB2312"/>
          <w:b w:val="0"/>
          <w:sz w:val="32"/>
        </w:rPr>
        <w:t>五、《一般公共预算财政拨款支出决算表》</w:t>
      </w:r>
    </w:p>
    <w:p w14:paraId="369D1136">
      <w:pPr>
        <w:spacing w:line="240" w:lineRule="auto"/>
        <w:ind w:firstLine="640"/>
        <w:jc w:val="both"/>
      </w:pPr>
      <w:r>
        <w:rPr>
          <w:rFonts w:ascii="仿宋_GB2312" w:hAnsi="仿宋_GB2312" w:eastAsia="仿宋_GB2312"/>
          <w:b w:val="0"/>
          <w:sz w:val="32"/>
        </w:rPr>
        <w:t>六、《一般公共预算财政拨款基本支出决算表》</w:t>
      </w:r>
    </w:p>
    <w:p w14:paraId="71C4DD25">
      <w:pPr>
        <w:spacing w:line="240" w:lineRule="auto"/>
        <w:ind w:firstLine="640"/>
        <w:jc w:val="both"/>
      </w:pPr>
      <w:r>
        <w:rPr>
          <w:rFonts w:ascii="仿宋_GB2312" w:hAnsi="仿宋_GB2312" w:eastAsia="仿宋_GB2312"/>
          <w:b w:val="0"/>
          <w:sz w:val="32"/>
        </w:rPr>
        <w:t>七、《政府性基金预算财政拨款收入支出决算表》</w:t>
      </w:r>
    </w:p>
    <w:p w14:paraId="3851FB3A">
      <w:pPr>
        <w:spacing w:line="240" w:lineRule="auto"/>
        <w:ind w:firstLine="640"/>
        <w:jc w:val="both"/>
      </w:pPr>
      <w:r>
        <w:rPr>
          <w:rFonts w:ascii="仿宋_GB2312" w:hAnsi="仿宋_GB2312" w:eastAsia="仿宋_GB2312"/>
          <w:b w:val="0"/>
          <w:sz w:val="32"/>
        </w:rPr>
        <w:t>八、《国有资本经营预算财政拨款收入支出决算表》</w:t>
      </w:r>
    </w:p>
    <w:p w14:paraId="1119435A">
      <w:pPr>
        <w:spacing w:line="240" w:lineRule="auto"/>
        <w:ind w:firstLine="640"/>
        <w:jc w:val="both"/>
      </w:pPr>
      <w:r>
        <w:rPr>
          <w:rFonts w:ascii="仿宋_GB2312" w:hAnsi="仿宋_GB2312" w:eastAsia="仿宋_GB2312"/>
          <w:b w:val="0"/>
          <w:sz w:val="32"/>
        </w:rPr>
        <w:t>九、《财政拨款“三公”经费支出决算表》</w:t>
      </w:r>
    </w:p>
    <w:p w14:paraId="601696E7">
      <w:pPr>
        <w:spacing w:line="240" w:lineRule="auto"/>
        <w:ind w:firstLine="640"/>
        <w:jc w:val="both"/>
      </w:pPr>
    </w:p>
    <w:p w14:paraId="3622ACC6">
      <w:pPr>
        <w:spacing w:line="240" w:lineRule="auto"/>
        <w:ind w:firstLine="640"/>
        <w:jc w:val="both"/>
      </w:pPr>
    </w:p>
    <w:p w14:paraId="3BF98F44">
      <w:pPr>
        <w:spacing w:line="240" w:lineRule="auto"/>
        <w:ind w:firstLine="640"/>
        <w:jc w:val="both"/>
      </w:pPr>
    </w:p>
    <w:p w14:paraId="0124B500">
      <w:pPr>
        <w:spacing w:line="240" w:lineRule="auto"/>
        <w:ind w:firstLine="640"/>
        <w:jc w:val="both"/>
      </w:pPr>
    </w:p>
    <w:p w14:paraId="74E76CF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F0E638-F21E-42FA-B287-58D33AEF80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E1DFE71-CF68-400F-9F37-4F0E5B16B267}"/>
  </w:font>
  <w:font w:name="仿宋_GB2312">
    <w:panose1 w:val="02010609030101010101"/>
    <w:charset w:val="86"/>
    <w:family w:val="modern"/>
    <w:pitch w:val="default"/>
    <w:sig w:usb0="00000001" w:usb1="080E0000" w:usb2="00000000" w:usb3="00000000" w:csb0="00040000" w:csb1="00000000"/>
    <w:embedRegular r:id="rId3" w:fontKey="{2013B09C-C265-47D1-B6E9-77E5B1AB1072}"/>
  </w:font>
  <w:font w:name="楷体_GB2312">
    <w:panose1 w:val="02010609030101010101"/>
    <w:charset w:val="86"/>
    <w:family w:val="auto"/>
    <w:pitch w:val="default"/>
    <w:sig w:usb0="00000001" w:usb1="080E0000" w:usb2="00000000" w:usb3="00000000" w:csb0="00040000" w:csb1="00000000"/>
    <w:embedRegular r:id="rId4" w:fontKey="{A56BE960-72A2-4F80-B7A1-104060DEBC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EE859DF"/>
    <w:rsid w:val="0F9811B3"/>
    <w:rsid w:val="11E15093"/>
    <w:rsid w:val="120E0809"/>
    <w:rsid w:val="12A8795F"/>
    <w:rsid w:val="19071D6C"/>
    <w:rsid w:val="19B5554D"/>
    <w:rsid w:val="1B8F2D19"/>
    <w:rsid w:val="1C317E4F"/>
    <w:rsid w:val="1C472464"/>
    <w:rsid w:val="1DAF458D"/>
    <w:rsid w:val="1E086ACE"/>
    <w:rsid w:val="1E4B5CA5"/>
    <w:rsid w:val="1EAA4A5F"/>
    <w:rsid w:val="1F587A0B"/>
    <w:rsid w:val="1FE541BD"/>
    <w:rsid w:val="2064678E"/>
    <w:rsid w:val="20BC0B75"/>
    <w:rsid w:val="20DD6197"/>
    <w:rsid w:val="21F317F2"/>
    <w:rsid w:val="2241392C"/>
    <w:rsid w:val="23BC04D2"/>
    <w:rsid w:val="25275618"/>
    <w:rsid w:val="27CE017C"/>
    <w:rsid w:val="27CF2642"/>
    <w:rsid w:val="282459E2"/>
    <w:rsid w:val="29116777"/>
    <w:rsid w:val="2A053397"/>
    <w:rsid w:val="2A444FB1"/>
    <w:rsid w:val="2A6064E2"/>
    <w:rsid w:val="2AF94DA4"/>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BE452F"/>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4504</Words>
  <Characters>5097</Characters>
  <Lines>0</Lines>
  <Paragraphs>0</Paragraphs>
  <TotalTime>7</TotalTime>
  <ScaleCrop>false</ScaleCrop>
  <LinksUpToDate>false</LinksUpToDate>
  <CharactersWithSpaces>5105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2025-09-24T08:05:10Z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