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39808"/>
    <w:p w14:paraId="684B2541">
      <w:pPr>
        <w:spacing w:line="540" w:lineRule="exact"/>
        <w:jc w:val="center"/>
        <w:rPr>
          <w:rFonts w:hint="default" w:ascii="Times New Roman" w:hAnsi="Times New Roman" w:eastAsia="华文中宋" w:cs="Times New Roman"/>
          <w:b/>
          <w:color w:val="auto"/>
          <w:kern w:val="0"/>
          <w:sz w:val="52"/>
          <w:szCs w:val="52"/>
          <w:highlight w:val="none"/>
        </w:rPr>
      </w:pPr>
    </w:p>
    <w:p w14:paraId="05C00537">
      <w:pPr>
        <w:spacing w:line="540" w:lineRule="exact"/>
        <w:rPr>
          <w:rFonts w:hint="default" w:ascii="Times New Roman" w:hAnsi="Times New Roman" w:eastAsia="华文中宋" w:cs="Times New Roman"/>
          <w:b/>
          <w:color w:val="auto"/>
          <w:kern w:val="0"/>
          <w:sz w:val="52"/>
          <w:szCs w:val="52"/>
          <w:highlight w:val="none"/>
        </w:rPr>
      </w:pPr>
    </w:p>
    <w:p w14:paraId="7A696B2B">
      <w:pPr>
        <w:spacing w:line="540" w:lineRule="exact"/>
        <w:jc w:val="center"/>
        <w:rPr>
          <w:rFonts w:hint="default" w:ascii="Times New Roman" w:hAnsi="Times New Roman" w:eastAsia="华文中宋" w:cs="Times New Roman"/>
          <w:b/>
          <w:color w:val="auto"/>
          <w:kern w:val="0"/>
          <w:sz w:val="52"/>
          <w:szCs w:val="52"/>
          <w:highlight w:val="none"/>
        </w:rPr>
      </w:pPr>
    </w:p>
    <w:p w14:paraId="2DB6407E">
      <w:pPr>
        <w:spacing w:line="540" w:lineRule="exact"/>
        <w:jc w:val="center"/>
        <w:rPr>
          <w:rFonts w:hint="default" w:ascii="Times New Roman" w:hAnsi="Times New Roman" w:eastAsia="华文中宋" w:cs="Times New Roman"/>
          <w:b/>
          <w:color w:val="auto"/>
          <w:kern w:val="0"/>
          <w:sz w:val="52"/>
          <w:szCs w:val="52"/>
          <w:highlight w:val="none"/>
        </w:rPr>
      </w:pPr>
    </w:p>
    <w:p w14:paraId="797CA054">
      <w:pPr>
        <w:spacing w:line="540" w:lineRule="exact"/>
        <w:jc w:val="center"/>
        <w:rPr>
          <w:rStyle w:val="20"/>
          <w:rFonts w:hint="eastAsia" w:ascii="黑体" w:hAnsi="黑体" w:eastAsia="黑体" w:cs="黑体"/>
          <w:b w:val="0"/>
          <w:color w:val="auto"/>
          <w:spacing w:val="-4"/>
          <w:sz w:val="31"/>
          <w:szCs w:val="31"/>
          <w:highlight w:val="none"/>
          <w:lang w:eastAsia="zh-CN"/>
        </w:rPr>
      </w:pPr>
      <w:r>
        <w:rPr>
          <w:rStyle w:val="20"/>
          <w:rFonts w:hint="eastAsia" w:ascii="黑体" w:hAnsi="黑体" w:eastAsia="黑体" w:cs="黑体"/>
          <w:b w:val="0"/>
          <w:color w:val="auto"/>
          <w:spacing w:val="-4"/>
          <w:sz w:val="31"/>
          <w:szCs w:val="31"/>
          <w:highlight w:val="none"/>
          <w:lang w:eastAsia="zh-CN"/>
        </w:rPr>
        <w:t>2024年博湖县查干诺尔乡乌腾郭楞村美丽乡村建设试点项目</w:t>
      </w:r>
    </w:p>
    <w:p w14:paraId="7B4E7781">
      <w:pPr>
        <w:spacing w:line="540" w:lineRule="exact"/>
        <w:jc w:val="center"/>
        <w:rPr>
          <w:rFonts w:hint="default" w:ascii="Times New Roman" w:hAnsi="Times New Roman" w:eastAsia="方正小标宋_GBK" w:cs="Times New Roman"/>
          <w:color w:val="auto"/>
          <w:kern w:val="0"/>
          <w:sz w:val="48"/>
          <w:szCs w:val="48"/>
          <w:highlight w:val="none"/>
        </w:rPr>
      </w:pPr>
      <w:r>
        <w:rPr>
          <w:rStyle w:val="20"/>
          <w:rFonts w:hint="default" w:ascii="黑体" w:hAnsi="黑体" w:eastAsia="黑体" w:cs="黑体"/>
          <w:b w:val="0"/>
          <w:color w:val="auto"/>
          <w:spacing w:val="-4"/>
          <w:sz w:val="31"/>
          <w:szCs w:val="31"/>
          <w:highlight w:val="none"/>
        </w:rPr>
        <w:t>支出绩效评价报告</w:t>
      </w:r>
    </w:p>
    <w:p w14:paraId="133745EA">
      <w:pPr>
        <w:spacing w:line="540" w:lineRule="exact"/>
        <w:jc w:val="center"/>
        <w:rPr>
          <w:rFonts w:hint="default" w:ascii="Times New Roman" w:hAnsi="Times New Roman" w:eastAsia="华文中宋" w:cs="Times New Roman"/>
          <w:b/>
          <w:color w:val="auto"/>
          <w:kern w:val="0"/>
          <w:sz w:val="52"/>
          <w:szCs w:val="52"/>
          <w:highlight w:val="none"/>
        </w:rPr>
      </w:pPr>
    </w:p>
    <w:p w14:paraId="1912718F">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4A2A738A">
      <w:pPr>
        <w:spacing w:line="540" w:lineRule="exact"/>
        <w:jc w:val="center"/>
        <w:rPr>
          <w:rFonts w:hint="default" w:ascii="Times New Roman" w:hAnsi="Times New Roman" w:eastAsia="仿宋_GB2312" w:cs="Times New Roman"/>
          <w:color w:val="auto"/>
          <w:kern w:val="0"/>
          <w:sz w:val="30"/>
          <w:szCs w:val="30"/>
          <w:highlight w:val="none"/>
        </w:rPr>
      </w:pPr>
    </w:p>
    <w:p w14:paraId="0B36BDE2">
      <w:pPr>
        <w:spacing w:line="540" w:lineRule="exact"/>
        <w:jc w:val="center"/>
        <w:rPr>
          <w:rFonts w:hint="default" w:ascii="Times New Roman" w:hAnsi="Times New Roman" w:eastAsia="仿宋_GB2312" w:cs="Times New Roman"/>
          <w:color w:val="auto"/>
          <w:kern w:val="0"/>
          <w:sz w:val="30"/>
          <w:szCs w:val="30"/>
          <w:highlight w:val="none"/>
        </w:rPr>
      </w:pPr>
    </w:p>
    <w:p w14:paraId="6971E4CA">
      <w:pPr>
        <w:spacing w:line="540" w:lineRule="exact"/>
        <w:jc w:val="center"/>
        <w:rPr>
          <w:rFonts w:hint="default" w:ascii="Times New Roman" w:hAnsi="Times New Roman" w:eastAsia="仿宋_GB2312" w:cs="Times New Roman"/>
          <w:color w:val="auto"/>
          <w:kern w:val="0"/>
          <w:sz w:val="30"/>
          <w:szCs w:val="30"/>
          <w:highlight w:val="none"/>
        </w:rPr>
      </w:pPr>
    </w:p>
    <w:p w14:paraId="5B554452">
      <w:pPr>
        <w:pStyle w:val="14"/>
        <w:rPr>
          <w:rFonts w:hint="default" w:ascii="Times New Roman" w:hAnsi="Times New Roman" w:cs="Times New Roman"/>
          <w:color w:val="auto"/>
          <w:highlight w:val="none"/>
        </w:rPr>
      </w:pPr>
    </w:p>
    <w:p w14:paraId="6ABAE3FD">
      <w:pPr>
        <w:spacing w:line="540" w:lineRule="exact"/>
        <w:jc w:val="center"/>
        <w:rPr>
          <w:rFonts w:hint="default" w:ascii="Times New Roman" w:hAnsi="Times New Roman" w:eastAsia="仿宋_GB2312" w:cs="Times New Roman"/>
          <w:color w:val="auto"/>
          <w:kern w:val="0"/>
          <w:sz w:val="30"/>
          <w:szCs w:val="30"/>
          <w:highlight w:val="none"/>
        </w:rPr>
      </w:pPr>
    </w:p>
    <w:p w14:paraId="091B798F">
      <w:pPr>
        <w:spacing w:line="540" w:lineRule="exact"/>
        <w:rPr>
          <w:rFonts w:hint="default" w:ascii="Times New Roman" w:hAnsi="Times New Roman" w:eastAsia="仿宋_GB2312" w:cs="Times New Roman"/>
          <w:color w:val="auto"/>
          <w:kern w:val="0"/>
          <w:sz w:val="30"/>
          <w:szCs w:val="30"/>
          <w:highlight w:val="none"/>
        </w:rPr>
      </w:pPr>
    </w:p>
    <w:p w14:paraId="2F75C25B">
      <w:pPr>
        <w:spacing w:line="700" w:lineRule="exact"/>
        <w:ind w:left="2518" w:leftChars="342" w:hanging="1800" w:hangingChars="500"/>
        <w:jc w:val="both"/>
        <w:rPr>
          <w:rFonts w:hint="eastAsia" w:ascii="Times New Roman" w:hAnsi="Times New Roman"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项目名称：</w:t>
      </w:r>
      <w:r>
        <w:rPr>
          <w:rFonts w:hint="eastAsia" w:eastAsia="仿宋_GB2312" w:cs="Times New Roman"/>
          <w:color w:val="auto"/>
          <w:kern w:val="0"/>
          <w:sz w:val="36"/>
          <w:szCs w:val="36"/>
          <w:highlight w:val="none"/>
          <w:lang w:eastAsia="zh-CN"/>
        </w:rPr>
        <w:t>2024年博湖县查干诺尔乡乌腾郭楞村</w:t>
      </w:r>
      <w:r>
        <w:rPr>
          <w:rFonts w:hint="eastAsia" w:eastAsia="仿宋_GB2312" w:cs="Times New Roman"/>
          <w:color w:val="auto"/>
          <w:kern w:val="0"/>
          <w:sz w:val="36"/>
          <w:szCs w:val="36"/>
          <w:highlight w:val="none"/>
          <w:lang w:val="en-US" w:eastAsia="zh-CN"/>
        </w:rPr>
        <w:t xml:space="preserve"> </w:t>
      </w:r>
      <w:r>
        <w:rPr>
          <w:rFonts w:hint="eastAsia" w:eastAsia="仿宋_GB2312" w:cs="Times New Roman"/>
          <w:color w:val="auto"/>
          <w:kern w:val="0"/>
          <w:sz w:val="36"/>
          <w:szCs w:val="36"/>
          <w:highlight w:val="none"/>
          <w:lang w:eastAsia="zh-CN"/>
        </w:rPr>
        <w:t>美丽乡村建设试点项目</w:t>
      </w:r>
    </w:p>
    <w:p w14:paraId="64961BAE">
      <w:pPr>
        <w:spacing w:line="700" w:lineRule="exact"/>
        <w:ind w:firstLine="720" w:firstLineChars="200"/>
        <w:jc w:val="both"/>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rPr>
        <w:t>博湖县查干诺尔乡人民政府</w:t>
      </w:r>
    </w:p>
    <w:p w14:paraId="174EDD50">
      <w:pPr>
        <w:spacing w:line="700" w:lineRule="exact"/>
        <w:ind w:firstLine="720" w:firstLineChars="200"/>
        <w:jc w:val="both"/>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w:t>
      </w:r>
      <w:r>
        <w:rPr>
          <w:rFonts w:hint="eastAsia" w:ascii="Times New Roman" w:hAnsi="Times New Roman" w:eastAsia="仿宋_GB2312" w:cs="Times New Roman"/>
          <w:color w:val="auto"/>
          <w:kern w:val="0"/>
          <w:sz w:val="36"/>
          <w:szCs w:val="36"/>
          <w:highlight w:val="none"/>
        </w:rPr>
        <w:t>博湖县查干诺尔乡人民政府</w:t>
      </w:r>
    </w:p>
    <w:p w14:paraId="632A92D7">
      <w:pPr>
        <w:spacing w:line="700" w:lineRule="exact"/>
        <w:ind w:firstLine="720" w:firstLineChars="200"/>
        <w:jc w:val="both"/>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项目负责人（签章）：</w:t>
      </w:r>
      <w:r>
        <w:rPr>
          <w:rFonts w:hint="eastAsia" w:ascii="Times New Roman" w:hAnsi="Times New Roman" w:eastAsia="仿宋_GB2312" w:cs="Times New Roman"/>
          <w:color w:val="auto"/>
          <w:kern w:val="0"/>
          <w:sz w:val="36"/>
          <w:szCs w:val="36"/>
          <w:highlight w:val="none"/>
          <w:lang w:eastAsia="zh-CN"/>
        </w:rPr>
        <w:t>刘伟</w:t>
      </w:r>
    </w:p>
    <w:p w14:paraId="378B1B78">
      <w:pPr>
        <w:spacing w:line="700" w:lineRule="exact"/>
        <w:ind w:firstLine="720" w:firstLineChars="200"/>
        <w:jc w:val="both"/>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ascii="Times New Roman" w:hAnsi="Times New Roman" w:eastAsia="仿宋_GB2312" w:cs="Times New Roman"/>
          <w:color w:val="auto"/>
          <w:kern w:val="0"/>
          <w:sz w:val="36"/>
          <w:szCs w:val="36"/>
          <w:highlight w:val="none"/>
        </w:rPr>
        <w:t>202</w:t>
      </w:r>
      <w:r>
        <w:rPr>
          <w:rFonts w:hint="eastAsia" w:ascii="Times New Roman" w:hAnsi="Times New Roman" w:eastAsia="仿宋_GB2312" w:cs="Times New Roman"/>
          <w:color w:val="auto"/>
          <w:kern w:val="0"/>
          <w:sz w:val="36"/>
          <w:szCs w:val="36"/>
          <w:highlight w:val="none"/>
          <w:lang w:val="en-US" w:eastAsia="zh-CN"/>
        </w:rPr>
        <w:t>5</w:t>
      </w:r>
      <w:r>
        <w:rPr>
          <w:rFonts w:hint="eastAsia"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4月30</w:t>
      </w:r>
      <w:r>
        <w:rPr>
          <w:rFonts w:hint="eastAsia" w:ascii="Times New Roman" w:hAnsi="Times New Roman" w:eastAsia="仿宋_GB2312" w:cs="Times New Roman"/>
          <w:color w:val="auto"/>
          <w:kern w:val="0"/>
          <w:sz w:val="36"/>
          <w:szCs w:val="36"/>
          <w:highlight w:val="none"/>
        </w:rPr>
        <w:t>日</w:t>
      </w:r>
    </w:p>
    <w:p w14:paraId="40C69A51">
      <w:pPr>
        <w:spacing w:line="540" w:lineRule="exact"/>
        <w:jc w:val="center"/>
        <w:rPr>
          <w:rFonts w:hint="default" w:ascii="Times New Roman" w:hAnsi="Times New Roman" w:eastAsia="仿宋_GB2312" w:cs="Times New Roman"/>
          <w:color w:val="auto"/>
          <w:kern w:val="0"/>
          <w:sz w:val="30"/>
          <w:szCs w:val="30"/>
          <w:highlight w:val="none"/>
        </w:rPr>
      </w:pPr>
    </w:p>
    <w:p w14:paraId="3A1AD657">
      <w:pPr>
        <w:spacing w:line="540" w:lineRule="exact"/>
        <w:rPr>
          <w:rStyle w:val="20"/>
          <w:rFonts w:hint="default" w:ascii="Times New Roman" w:hAnsi="Times New Roman" w:eastAsia="黑体" w:cs="Times New Roman"/>
          <w:b w:val="0"/>
          <w:color w:val="auto"/>
          <w:spacing w:val="-4"/>
          <w:sz w:val="32"/>
          <w:szCs w:val="32"/>
          <w:highlight w:val="none"/>
        </w:rPr>
      </w:pPr>
    </w:p>
    <w:p w14:paraId="199AC214">
      <w:pPr>
        <w:spacing w:line="540" w:lineRule="exact"/>
        <w:ind w:firstLine="640"/>
        <w:rPr>
          <w:rStyle w:val="20"/>
          <w:rFonts w:hint="default" w:ascii="Times New Roman" w:hAnsi="Times New Roman" w:eastAsia="黑体" w:cs="Times New Roman"/>
          <w:b w:val="0"/>
          <w:color w:val="auto"/>
          <w:spacing w:val="-4"/>
          <w:sz w:val="32"/>
          <w:szCs w:val="32"/>
          <w:highlight w:val="none"/>
        </w:rPr>
      </w:pPr>
    </w:p>
    <w:p w14:paraId="63C51239">
      <w:pPr>
        <w:spacing w:line="560" w:lineRule="exact"/>
        <w:ind w:firstLine="620" w:firstLineChars="200"/>
        <w:rPr>
          <w:rFonts w:hint="eastAsia" w:ascii="方正黑体_GBK" w:hAnsi="方正黑体_GBK" w:eastAsia="方正黑体_GBK" w:cs="方正黑体_GBK"/>
          <w:b w:val="0"/>
          <w:bCs/>
          <w:color w:val="auto"/>
          <w:sz w:val="31"/>
          <w:szCs w:val="31"/>
          <w:highlight w:val="none"/>
        </w:rPr>
      </w:pPr>
      <w:r>
        <w:rPr>
          <w:rFonts w:hint="eastAsia" w:ascii="方正黑体_GBK" w:hAnsi="方正黑体_GBK" w:eastAsia="方正黑体_GBK" w:cs="方正黑体_GBK"/>
          <w:b w:val="0"/>
          <w:bCs/>
          <w:color w:val="auto"/>
          <w:sz w:val="31"/>
          <w:szCs w:val="31"/>
          <w:highlight w:val="none"/>
        </w:rPr>
        <w:t>一、基本情况</w:t>
      </w:r>
    </w:p>
    <w:p w14:paraId="487E5D27">
      <w:pPr>
        <w:spacing w:line="560" w:lineRule="exact"/>
        <w:ind w:firstLine="620" w:firstLineChars="200"/>
        <w:rPr>
          <w:rFonts w:hint="eastAsia" w:ascii="方正楷体_GBK" w:hAnsi="方正楷体_GBK" w:eastAsia="方正楷体_GBK" w:cs="方正楷体_GBK"/>
          <w:b w:val="0"/>
          <w:bCs/>
          <w:color w:val="auto"/>
          <w:sz w:val="31"/>
          <w:szCs w:val="31"/>
          <w:highlight w:val="none"/>
        </w:rPr>
      </w:pPr>
      <w:r>
        <w:rPr>
          <w:rFonts w:hint="eastAsia" w:ascii="方正楷体_GBK" w:hAnsi="方正楷体_GBK" w:eastAsia="方正楷体_GBK" w:cs="方正楷体_GBK"/>
          <w:b w:val="0"/>
          <w:bCs/>
          <w:color w:val="auto"/>
          <w:sz w:val="31"/>
          <w:szCs w:val="31"/>
          <w:highlight w:val="none"/>
        </w:rPr>
        <w:t>（一）项目概况</w:t>
      </w:r>
    </w:p>
    <w:p w14:paraId="397F3184">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1</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项目背景</w:t>
      </w:r>
    </w:p>
    <w:p w14:paraId="04D86355">
      <w:pPr>
        <w:keepNext w:val="0"/>
        <w:keepLines w:val="0"/>
        <w:pageBreakBefore w:val="0"/>
        <w:numPr>
          <w:ilvl w:val="0"/>
          <w:numId w:val="0"/>
        </w:numPr>
        <w:kinsoku/>
        <w:wordWrap/>
        <w:overflowPunct/>
        <w:topLinePunct w:val="0"/>
        <w:autoSpaceDE/>
        <w:autoSpaceDN/>
        <w:bidi w:val="0"/>
        <w:spacing w:line="540" w:lineRule="exact"/>
        <w:ind w:firstLine="620" w:firstLineChars="200"/>
        <w:jc w:val="left"/>
        <w:outlineLvl w:val="1"/>
        <w:rPr>
          <w:rFonts w:hint="eastAsia" w:ascii="方正仿宋_GBK" w:hAnsi="方正仿宋_GBK" w:eastAsia="方正仿宋_GBK" w:cs="方正仿宋_GBK"/>
          <w:b w:val="0"/>
          <w:bCs/>
          <w:color w:val="auto"/>
          <w:sz w:val="31"/>
          <w:szCs w:val="31"/>
          <w:highlight w:val="none"/>
          <w:lang w:val="en-US" w:eastAsia="zh-CN"/>
        </w:rPr>
      </w:pPr>
      <w:bookmarkStart w:id="0" w:name="_Toc12370"/>
      <w:bookmarkStart w:id="1" w:name="_Toc23333"/>
      <w:bookmarkStart w:id="2" w:name="_Toc25600"/>
      <w:bookmarkStart w:id="3" w:name="_Toc3773"/>
      <w:bookmarkStart w:id="4" w:name="_Toc14615"/>
      <w:bookmarkStart w:id="5" w:name="_Toc29353"/>
      <w:bookmarkStart w:id="6" w:name="_Toc4546"/>
      <w:bookmarkStart w:id="7" w:name="_Toc2289"/>
      <w:r>
        <w:rPr>
          <w:rFonts w:hint="eastAsia" w:ascii="方正仿宋_GBK" w:hAnsi="方正仿宋_GBK" w:eastAsia="方正仿宋_GBK" w:cs="方正仿宋_GBK"/>
          <w:b w:val="0"/>
          <w:bCs/>
          <w:color w:val="auto"/>
          <w:sz w:val="31"/>
          <w:szCs w:val="31"/>
          <w:highlight w:val="none"/>
        </w:rPr>
        <w:t>按照《自治区农村人居环境整治三年行动实施方案》</w:t>
      </w:r>
      <w:r>
        <w:rPr>
          <w:rFonts w:hint="eastAsia" w:ascii="方正仿宋_GBK" w:hAnsi="方正仿宋_GBK" w:eastAsia="方正仿宋_GBK" w:cs="方正仿宋_GBK"/>
          <w:b w:val="0"/>
          <w:bCs/>
          <w:color w:val="auto"/>
          <w:sz w:val="31"/>
          <w:szCs w:val="31"/>
          <w:highlight w:val="none"/>
          <w:lang w:val="en-US" w:eastAsia="zh-CN"/>
        </w:rPr>
        <w:t>,为全面贯彻落实博湖县美丽乡村建设工作的有关会议精神和安排部署，积极推动乡村振兴战略实施，改善农村人居环境，提高群众生活幸福指数，营造环境优美、生态宜居的美丽村镇。推进乡村振兴工作以来，查干诺尔乡党委充分认识到农村人居环境工作事关广大农牧民群众的切身利益，形成主要领导带头抓、分管领导具体</w:t>
      </w:r>
      <w:r>
        <w:rPr>
          <w:rFonts w:hint="eastAsia" w:ascii="方正仿宋_GBK" w:hAnsi="方正仿宋_GBK" w:eastAsia="方正仿宋_GBK" w:cs="方正仿宋_GBK"/>
          <w:b w:val="0"/>
          <w:bCs/>
          <w:color w:val="auto"/>
          <w:sz w:val="31"/>
          <w:szCs w:val="31"/>
          <w:highlight w:val="none"/>
        </w:rPr>
        <w:t>抓、乡村干部网格员抓好网格</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群众广泛参与</w:t>
      </w:r>
      <w:r>
        <w:rPr>
          <w:rFonts w:hint="eastAsia" w:ascii="方正仿宋_GBK" w:hAnsi="方正仿宋_GBK" w:eastAsia="方正仿宋_GBK" w:cs="方正仿宋_GBK"/>
          <w:b w:val="0"/>
          <w:bCs/>
          <w:color w:val="auto"/>
          <w:sz w:val="31"/>
          <w:szCs w:val="31"/>
          <w:highlight w:val="none"/>
        </w:rPr>
        <w:t>的工作格局</w:t>
      </w:r>
      <w:bookmarkEnd w:id="0"/>
      <w:bookmarkEnd w:id="1"/>
      <w:bookmarkEnd w:id="2"/>
      <w:bookmarkEnd w:id="3"/>
      <w:bookmarkEnd w:id="4"/>
      <w:bookmarkEnd w:id="5"/>
      <w:bookmarkEnd w:id="6"/>
      <w:bookmarkEnd w:id="7"/>
      <w:r>
        <w:rPr>
          <w:rFonts w:hint="eastAsia" w:ascii="方正仿宋_GBK" w:hAnsi="方正仿宋_GBK" w:eastAsia="方正仿宋_GBK" w:cs="方正仿宋_GBK"/>
          <w:b w:val="0"/>
          <w:bCs/>
          <w:color w:val="auto"/>
          <w:sz w:val="31"/>
          <w:szCs w:val="31"/>
          <w:highlight w:val="none"/>
          <w:lang w:eastAsia="zh-CN"/>
        </w:rPr>
        <w:t>。</w:t>
      </w:r>
    </w:p>
    <w:p w14:paraId="39AF3272">
      <w:pPr>
        <w:pStyle w:val="14"/>
        <w:numPr>
          <w:ilvl w:val="0"/>
          <w:numId w:val="0"/>
        </w:numPr>
        <w:spacing w:before="0" w:after="0" w:line="560" w:lineRule="exact"/>
        <w:ind w:firstLine="620" w:firstLineChars="200"/>
        <w:jc w:val="both"/>
        <w:rPr>
          <w:rFonts w:hint="eastAsia" w:ascii="方正仿宋_GBK" w:hAnsi="方正仿宋_GBK" w:eastAsia="方正仿宋_GBK" w:cs="方正仿宋_GBK"/>
          <w:b w:val="0"/>
          <w:bCs/>
          <w:color w:val="auto"/>
          <w:kern w:val="2"/>
          <w:sz w:val="31"/>
          <w:szCs w:val="31"/>
          <w:highlight w:val="none"/>
        </w:rPr>
      </w:pPr>
      <w:r>
        <w:rPr>
          <w:rFonts w:hint="eastAsia" w:ascii="方正仿宋_GBK" w:hAnsi="方正仿宋_GBK" w:eastAsia="方正仿宋_GBK" w:cs="方正仿宋_GBK"/>
          <w:b w:val="0"/>
          <w:bCs/>
          <w:color w:val="auto"/>
          <w:kern w:val="2"/>
          <w:sz w:val="31"/>
          <w:szCs w:val="31"/>
          <w:highlight w:val="none"/>
          <w:lang w:val="en-US" w:eastAsia="zh-CN"/>
        </w:rPr>
        <w:t>2.</w:t>
      </w:r>
      <w:r>
        <w:rPr>
          <w:rFonts w:hint="eastAsia" w:ascii="方正仿宋_GBK" w:hAnsi="方正仿宋_GBK" w:eastAsia="方正仿宋_GBK" w:cs="方正仿宋_GBK"/>
          <w:b w:val="0"/>
          <w:bCs/>
          <w:color w:val="auto"/>
          <w:kern w:val="2"/>
          <w:sz w:val="31"/>
          <w:szCs w:val="31"/>
          <w:highlight w:val="none"/>
        </w:rPr>
        <w:t>项目主要内容：</w:t>
      </w:r>
    </w:p>
    <w:p w14:paraId="36FE89F0">
      <w:pPr>
        <w:ind w:firstLine="620" w:firstLineChars="20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项目主要内容：</w:t>
      </w:r>
      <w:r>
        <w:rPr>
          <w:rStyle w:val="30"/>
          <w:rFonts w:hint="eastAsia" w:ascii="方正仿宋_GBK" w:hAnsi="方正仿宋_GBK" w:eastAsia="方正仿宋_GBK" w:cs="方正仿宋_GBK"/>
          <w:b w:val="0"/>
          <w:bCs/>
          <w:color w:val="auto"/>
          <w:sz w:val="31"/>
          <w:szCs w:val="31"/>
          <w:highlight w:val="none"/>
          <w:lang w:eastAsia="zh-CN"/>
        </w:rPr>
        <w:t>新建围栏5543米；公共基础设施建设维护，新建供水井4座、检修1座、新建检修供水管网900米；公共区域地面硬化5593平方米、支持村内公益设施建设数量</w:t>
      </w:r>
      <w:r>
        <w:rPr>
          <w:rStyle w:val="30"/>
          <w:rFonts w:hint="eastAsia" w:ascii="方正仿宋_GBK" w:hAnsi="方正仿宋_GBK" w:eastAsia="方正仿宋_GBK" w:cs="方正仿宋_GBK"/>
          <w:b w:val="0"/>
          <w:bCs/>
          <w:color w:val="auto"/>
          <w:sz w:val="31"/>
          <w:szCs w:val="31"/>
          <w:highlight w:val="none"/>
          <w:lang w:val="en-US" w:eastAsia="zh-CN"/>
        </w:rPr>
        <w:t>5个</w:t>
      </w:r>
      <w:r>
        <w:rPr>
          <w:rStyle w:val="30"/>
          <w:rFonts w:hint="eastAsia" w:ascii="方正仿宋_GBK" w:hAnsi="方正仿宋_GBK" w:eastAsia="方正仿宋_GBK" w:cs="方正仿宋_GBK"/>
          <w:b w:val="0"/>
          <w:bCs/>
          <w:color w:val="auto"/>
          <w:sz w:val="31"/>
          <w:szCs w:val="31"/>
          <w:highlight w:val="none"/>
          <w:lang w:eastAsia="zh-CN"/>
        </w:rPr>
        <w:t>。加快改善村庄设施条件，</w:t>
      </w:r>
      <w:r>
        <w:rPr>
          <w:rFonts w:hint="eastAsia" w:ascii="方正仿宋_GBK" w:hAnsi="方正仿宋_GBK" w:eastAsia="方正仿宋_GBK" w:cs="方正仿宋_GBK"/>
          <w:b w:val="0"/>
          <w:bCs/>
          <w:color w:val="auto"/>
          <w:sz w:val="31"/>
          <w:szCs w:val="31"/>
          <w:highlight w:val="none"/>
          <w:lang w:val="en-US" w:eastAsia="zh-CN"/>
        </w:rPr>
        <w:t>改善农村人居环境，提高群众生活幸福指数</w:t>
      </w:r>
      <w:r>
        <w:rPr>
          <w:rStyle w:val="30"/>
          <w:rFonts w:hint="eastAsia" w:ascii="方正仿宋_GBK" w:hAnsi="方正仿宋_GBK" w:eastAsia="方正仿宋_GBK" w:cs="方正仿宋_GBK"/>
          <w:b w:val="0"/>
          <w:bCs/>
          <w:color w:val="auto"/>
          <w:sz w:val="31"/>
          <w:szCs w:val="31"/>
          <w:highlight w:val="none"/>
          <w:lang w:eastAsia="zh-CN"/>
        </w:rPr>
        <w:t>。</w:t>
      </w:r>
    </w:p>
    <w:p w14:paraId="5E8198B6">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项目实施情况：</w:t>
      </w:r>
      <w:r>
        <w:rPr>
          <w:rStyle w:val="30"/>
          <w:rFonts w:hint="eastAsia" w:ascii="方正仿宋_GBK" w:hAnsi="方正仿宋_GBK" w:eastAsia="方正仿宋_GBK" w:cs="方正仿宋_GBK"/>
          <w:b w:val="0"/>
          <w:bCs/>
          <w:color w:val="auto"/>
          <w:sz w:val="31"/>
          <w:szCs w:val="31"/>
          <w:highlight w:val="none"/>
          <w:lang w:eastAsia="zh-CN"/>
        </w:rPr>
        <w:t>2024年度已完成新建围栏5543米，新建供水井4座、检修1座，新建检修供水管网900米，公共区域地面硬化5593平方米，支持村内公益设施建设数量5个，改善了村庄基础设施条件，提升了群众生产生活水平，为打造宜居乡村奠定了基础,提升了村庄供水、绿化设施，改善了村庄生态环境。</w:t>
      </w:r>
    </w:p>
    <w:p w14:paraId="117E8ACA">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3</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资金投入和使用情况</w:t>
      </w:r>
    </w:p>
    <w:p w14:paraId="4702EDC9">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（1）资金投入情况</w:t>
      </w:r>
    </w:p>
    <w:p w14:paraId="7EB2FB98">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该项目年初预算数200万元，全年预算数158.70万元，该项目资金已全部落实到位，资金来源为财政拨款。</w:t>
      </w:r>
    </w:p>
    <w:p w14:paraId="1532B2D8">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（2）资金使用情况</w:t>
      </w:r>
    </w:p>
    <w:p w14:paraId="656B6A62">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该项目年初预算数200万元，全年预算数158.7万元，全年执行数158.7万元，预算执行率为100%，主要用于：新建</w:t>
      </w:r>
      <w:r>
        <w:rPr>
          <w:rStyle w:val="30"/>
          <w:rFonts w:hint="eastAsia" w:ascii="方正仿宋_GBK" w:hAnsi="方正仿宋_GBK" w:eastAsia="方正仿宋_GBK" w:cs="方正仿宋_GBK"/>
          <w:b w:val="0"/>
          <w:bCs/>
          <w:color w:val="auto"/>
          <w:sz w:val="31"/>
          <w:szCs w:val="31"/>
          <w:highlight w:val="none"/>
          <w:lang w:eastAsia="zh-CN"/>
        </w:rPr>
        <w:t>围栏5543米，每米120元，小计</w:t>
      </w:r>
      <w:r>
        <w:rPr>
          <w:rStyle w:val="30"/>
          <w:rFonts w:hint="eastAsia" w:ascii="方正仿宋_GBK" w:hAnsi="方正仿宋_GBK" w:eastAsia="方正仿宋_GBK" w:cs="方正仿宋_GBK"/>
          <w:b w:val="0"/>
          <w:bCs/>
          <w:color w:val="auto"/>
          <w:sz w:val="31"/>
          <w:szCs w:val="31"/>
          <w:highlight w:val="none"/>
          <w:lang w:val="en-US" w:eastAsia="zh-CN"/>
        </w:rPr>
        <w:t>66.516万元；新建</w:t>
      </w:r>
      <w:r>
        <w:rPr>
          <w:rStyle w:val="30"/>
          <w:rFonts w:hint="eastAsia" w:ascii="方正仿宋_GBK" w:hAnsi="方正仿宋_GBK" w:eastAsia="方正仿宋_GBK" w:cs="方正仿宋_GBK"/>
          <w:b w:val="0"/>
          <w:bCs/>
          <w:color w:val="auto"/>
          <w:sz w:val="31"/>
          <w:szCs w:val="31"/>
          <w:highlight w:val="none"/>
          <w:lang w:eastAsia="zh-CN"/>
        </w:rPr>
        <w:t>水井4座，每座1.10万元，小计</w:t>
      </w:r>
      <w:r>
        <w:rPr>
          <w:rStyle w:val="30"/>
          <w:rFonts w:hint="eastAsia" w:ascii="方正仿宋_GBK" w:hAnsi="方正仿宋_GBK" w:eastAsia="方正仿宋_GBK" w:cs="方正仿宋_GBK"/>
          <w:b w:val="0"/>
          <w:bCs/>
          <w:color w:val="auto"/>
          <w:sz w:val="31"/>
          <w:szCs w:val="31"/>
          <w:highlight w:val="none"/>
          <w:lang w:val="en-US" w:eastAsia="zh-CN"/>
        </w:rPr>
        <w:t>4.4万元</w:t>
      </w:r>
      <w:r>
        <w:rPr>
          <w:rStyle w:val="30"/>
          <w:rFonts w:hint="eastAsia" w:ascii="方正仿宋_GBK" w:hAnsi="方正仿宋_GBK" w:eastAsia="方正仿宋_GBK" w:cs="方正仿宋_GBK"/>
          <w:b w:val="0"/>
          <w:bCs/>
          <w:color w:val="auto"/>
          <w:sz w:val="31"/>
          <w:szCs w:val="31"/>
          <w:highlight w:val="none"/>
          <w:lang w:eastAsia="zh-CN"/>
        </w:rPr>
        <w:t>；检修1座，每座0.5万元，小计</w:t>
      </w:r>
      <w:r>
        <w:rPr>
          <w:rStyle w:val="30"/>
          <w:rFonts w:hint="eastAsia" w:ascii="方正仿宋_GBK" w:hAnsi="方正仿宋_GBK" w:eastAsia="方正仿宋_GBK" w:cs="方正仿宋_GBK"/>
          <w:b w:val="0"/>
          <w:bCs/>
          <w:color w:val="auto"/>
          <w:sz w:val="31"/>
          <w:szCs w:val="31"/>
          <w:highlight w:val="none"/>
          <w:lang w:val="en-US" w:eastAsia="zh-CN"/>
        </w:rPr>
        <w:t>0.5万元</w:t>
      </w:r>
      <w:r>
        <w:rPr>
          <w:rStyle w:val="30"/>
          <w:rFonts w:hint="eastAsia" w:ascii="方正仿宋_GBK" w:hAnsi="方正仿宋_GBK" w:eastAsia="方正仿宋_GBK" w:cs="方正仿宋_GBK"/>
          <w:b w:val="0"/>
          <w:bCs/>
          <w:color w:val="auto"/>
          <w:sz w:val="31"/>
          <w:szCs w:val="31"/>
          <w:highlight w:val="none"/>
          <w:lang w:eastAsia="zh-CN"/>
        </w:rPr>
        <w:t>；检修供水管网900米，每米99.78元，小计</w:t>
      </w:r>
      <w:r>
        <w:rPr>
          <w:rStyle w:val="30"/>
          <w:rFonts w:hint="eastAsia" w:ascii="方正仿宋_GBK" w:hAnsi="方正仿宋_GBK" w:eastAsia="方正仿宋_GBK" w:cs="方正仿宋_GBK"/>
          <w:b w:val="0"/>
          <w:bCs/>
          <w:color w:val="auto"/>
          <w:sz w:val="31"/>
          <w:szCs w:val="31"/>
          <w:highlight w:val="none"/>
          <w:lang w:val="en-US" w:eastAsia="zh-CN"/>
        </w:rPr>
        <w:t>8.9802万元</w:t>
      </w:r>
      <w:r>
        <w:rPr>
          <w:rStyle w:val="30"/>
          <w:rFonts w:hint="eastAsia" w:ascii="方正仿宋_GBK" w:hAnsi="方正仿宋_GBK" w:eastAsia="方正仿宋_GBK" w:cs="方正仿宋_GBK"/>
          <w:b w:val="0"/>
          <w:bCs/>
          <w:color w:val="auto"/>
          <w:sz w:val="31"/>
          <w:szCs w:val="31"/>
          <w:highlight w:val="none"/>
          <w:lang w:eastAsia="zh-CN"/>
        </w:rPr>
        <w:t>；公共区域地面硬化5593平方米，每平方米140元，小计</w:t>
      </w:r>
      <w:r>
        <w:rPr>
          <w:rStyle w:val="30"/>
          <w:rFonts w:hint="eastAsia" w:ascii="方正仿宋_GBK" w:hAnsi="方正仿宋_GBK" w:eastAsia="方正仿宋_GBK" w:cs="方正仿宋_GBK"/>
          <w:b w:val="0"/>
          <w:bCs/>
          <w:color w:val="auto"/>
          <w:sz w:val="31"/>
          <w:szCs w:val="31"/>
          <w:highlight w:val="none"/>
          <w:lang w:val="en-US" w:eastAsia="zh-CN"/>
        </w:rPr>
        <w:t>78.302万元</w:t>
      </w:r>
      <w:r>
        <w:rPr>
          <w:rFonts w:hint="eastAsia" w:ascii="方正仿宋_GBK" w:hAnsi="方正仿宋_GBK" w:eastAsia="方正仿宋_GBK" w:cs="方正仿宋_GBK"/>
          <w:b w:val="0"/>
          <w:bCs/>
          <w:color w:val="auto"/>
          <w:sz w:val="31"/>
          <w:szCs w:val="31"/>
          <w:highlight w:val="none"/>
          <w:lang w:val="en-US" w:eastAsia="zh-CN"/>
        </w:rPr>
        <w:t>。</w:t>
      </w:r>
    </w:p>
    <w:p w14:paraId="409D556D">
      <w:pPr>
        <w:spacing w:line="560" w:lineRule="exact"/>
        <w:ind w:firstLine="620" w:firstLineChars="200"/>
        <w:rPr>
          <w:rFonts w:hint="eastAsia" w:ascii="方正楷体_GBK" w:hAnsi="方正楷体_GBK" w:eastAsia="方正楷体_GBK" w:cs="方正楷体_GBK"/>
          <w:b w:val="0"/>
          <w:bCs/>
          <w:color w:val="auto"/>
          <w:sz w:val="31"/>
          <w:szCs w:val="31"/>
          <w:highlight w:val="none"/>
        </w:rPr>
      </w:pPr>
      <w:r>
        <w:rPr>
          <w:rFonts w:hint="eastAsia" w:ascii="方正楷体_GBK" w:hAnsi="方正楷体_GBK" w:eastAsia="方正楷体_GBK" w:cs="方正楷体_GBK"/>
          <w:b w:val="0"/>
          <w:bCs/>
          <w:color w:val="auto"/>
          <w:sz w:val="31"/>
          <w:szCs w:val="31"/>
          <w:highlight w:val="none"/>
        </w:rPr>
        <w:t>（二）项目绩效目标</w:t>
      </w:r>
    </w:p>
    <w:p w14:paraId="68D67453">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1</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总体目标</w:t>
      </w:r>
    </w:p>
    <w:p w14:paraId="20545D98">
      <w:pPr>
        <w:spacing w:line="560" w:lineRule="exact"/>
        <w:ind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按照《自治区农村人居环境整治三年行动实施方案》要求，通过新建围栏5543米，公共基础设施建设维护，新建供水井4座、检修1座，新建检修供水管网900米，公共区域地面硬化5593平方米，加快改善村庄设施条件，不断提升公共服务水平，使全乡生态环境更加优良、乡村特色更加鲜明、公共服务更加配套，努力形成环境优美、生态</w:t>
      </w:r>
      <w:r>
        <w:rPr>
          <w:rFonts w:hint="eastAsia" w:ascii="方正仿宋_GBK" w:hAnsi="方正仿宋_GBK" w:eastAsia="方正仿宋_GBK" w:cs="方正仿宋_GBK"/>
          <w:b w:val="0"/>
          <w:bCs/>
          <w:color w:val="auto"/>
          <w:sz w:val="31"/>
          <w:szCs w:val="31"/>
          <w:highlight w:val="none"/>
          <w:lang w:eastAsia="zh-CN"/>
        </w:rPr>
        <w:t>宜居</w:t>
      </w:r>
      <w:r>
        <w:rPr>
          <w:rFonts w:hint="eastAsia" w:ascii="方正仿宋_GBK" w:hAnsi="方正仿宋_GBK" w:eastAsia="方正仿宋_GBK" w:cs="方正仿宋_GBK"/>
          <w:b w:val="0"/>
          <w:bCs/>
          <w:color w:val="auto"/>
          <w:sz w:val="31"/>
          <w:szCs w:val="31"/>
          <w:highlight w:val="none"/>
        </w:rPr>
        <w:t>、特色鲜明的乡村面貌，推动城乡发展一体化，加快建设美丽乡村</w:t>
      </w:r>
      <w:r>
        <w:rPr>
          <w:rFonts w:hint="eastAsia" w:ascii="方正仿宋_GBK" w:hAnsi="方正仿宋_GBK" w:eastAsia="方正仿宋_GBK" w:cs="方正仿宋_GBK"/>
          <w:b w:val="0"/>
          <w:bCs/>
          <w:color w:val="auto"/>
          <w:sz w:val="31"/>
          <w:szCs w:val="31"/>
          <w:highlight w:val="none"/>
          <w:lang w:eastAsia="zh-CN"/>
        </w:rPr>
        <w:t>。</w:t>
      </w:r>
    </w:p>
    <w:p w14:paraId="2E0919F4">
      <w:pPr>
        <w:spacing w:line="560" w:lineRule="exact"/>
        <w:ind w:firstLine="620" w:firstLineChars="20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rPr>
        <w:t>2</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阶段性目标</w:t>
      </w:r>
    </w:p>
    <w:p w14:paraId="257946AB">
      <w:pPr>
        <w:pStyle w:val="31"/>
        <w:keepNext w:val="0"/>
        <w:keepLines w:val="0"/>
        <w:pageBreakBefore w:val="0"/>
        <w:kinsoku/>
        <w:wordWrap/>
        <w:overflowPunct/>
        <w:topLinePunct w:val="0"/>
        <w:autoSpaceDE/>
        <w:autoSpaceDN/>
        <w:bidi w:val="0"/>
        <w:spacing w:line="540" w:lineRule="exact"/>
        <w:ind w:firstLine="641" w:firstLineChars="207"/>
        <w:jc w:val="left"/>
        <w:rPr>
          <w:rFonts w:hint="eastAsia" w:ascii="方正仿宋_GBK" w:hAnsi="方正仿宋_GBK" w:eastAsia="方正仿宋_GBK" w:cs="方正仿宋_GBK"/>
          <w:b w:val="0"/>
          <w:bCs/>
          <w:color w:val="auto"/>
          <w:kern w:val="2"/>
          <w:sz w:val="31"/>
          <w:szCs w:val="31"/>
          <w:highlight w:val="none"/>
          <w:lang w:val="en-US" w:eastAsia="zh-CN" w:bidi="ar-SA"/>
        </w:rPr>
      </w:pPr>
      <w:r>
        <w:rPr>
          <w:rFonts w:hint="eastAsia" w:ascii="方正仿宋_GBK" w:hAnsi="方正仿宋_GBK" w:eastAsia="方正仿宋_GBK" w:cs="方正仿宋_GBK"/>
          <w:b w:val="0"/>
          <w:bCs/>
          <w:color w:val="auto"/>
          <w:kern w:val="2"/>
          <w:sz w:val="31"/>
          <w:szCs w:val="31"/>
          <w:highlight w:val="none"/>
          <w:lang w:val="en-US" w:eastAsia="zh-CN" w:bidi="ar-SA"/>
        </w:rPr>
        <w:t>（1）第一季度：乡村两级分别成立美丽乡村工作领导小组，进一步明确任务，强化责任。召开动员会议，分别召开乡村两级美丽乡村建设工作会议，统一思想认识，增强建设信心，调动建设积极性。</w:t>
      </w:r>
    </w:p>
    <w:p w14:paraId="354F15C3">
      <w:pPr>
        <w:spacing w:line="560" w:lineRule="exact"/>
        <w:ind w:firstLine="620" w:firstLineChars="200"/>
        <w:rPr>
          <w:rFonts w:hint="eastAsia" w:ascii="方正仿宋_GBK" w:hAnsi="方正仿宋_GBK" w:eastAsia="方正仿宋_GBK" w:cs="方正仿宋_GBK"/>
          <w:b w:val="0"/>
          <w:bCs/>
          <w:color w:val="auto"/>
          <w:kern w:val="2"/>
          <w:sz w:val="31"/>
          <w:szCs w:val="31"/>
          <w:highlight w:val="none"/>
          <w:lang w:val="en-US" w:eastAsia="zh-CN" w:bidi="ar-SA"/>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kern w:val="2"/>
          <w:sz w:val="31"/>
          <w:szCs w:val="31"/>
          <w:highlight w:val="none"/>
          <w:lang w:val="en-US" w:eastAsia="zh-CN" w:bidi="ar-SA"/>
        </w:rPr>
        <w:t>第二季度：广泛征求群众意见，完成项目建设内容的谋划、前期手续的办理、申报立项、招投标、施工合同的签订、项目进场开工等工作。</w:t>
      </w:r>
    </w:p>
    <w:p w14:paraId="2C21F1E8">
      <w:pPr>
        <w:spacing w:line="560" w:lineRule="exact"/>
        <w:ind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kern w:val="2"/>
          <w:sz w:val="31"/>
          <w:szCs w:val="31"/>
          <w:highlight w:val="none"/>
          <w:lang w:val="en-US" w:eastAsia="zh-CN" w:bidi="ar-SA"/>
        </w:rPr>
        <w:t>第三季度：建设单位统筹好项目施工、监理等单位，完成项目的建设。</w:t>
      </w:r>
    </w:p>
    <w:p w14:paraId="311FD05D">
      <w:pPr>
        <w:spacing w:line="560" w:lineRule="exact"/>
        <w:ind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kern w:val="2"/>
          <w:sz w:val="31"/>
          <w:szCs w:val="31"/>
          <w:highlight w:val="none"/>
          <w:lang w:val="en-US" w:eastAsia="zh-CN" w:bidi="ar-SA"/>
        </w:rPr>
        <w:t>第四季度：建设单位组织项目施工单位、监理单位、受益行政村、村民代表、相关站所完成项目验收，建设单位委托审计公司完成项目工程及财务审计。</w:t>
      </w:r>
    </w:p>
    <w:p w14:paraId="51D80295">
      <w:pPr>
        <w:pStyle w:val="5"/>
        <w:rPr>
          <w:rFonts w:hint="eastAsia"/>
          <w:highlight w:val="none"/>
          <w:lang w:eastAsia="zh-CN"/>
        </w:rPr>
      </w:pPr>
    </w:p>
    <w:p w14:paraId="0296397C">
      <w:pPr>
        <w:spacing w:line="560" w:lineRule="exact"/>
        <w:ind w:firstLine="620" w:firstLineChars="200"/>
        <w:rPr>
          <w:rFonts w:hint="eastAsia" w:ascii="方正黑体_GBK" w:hAnsi="方正黑体_GBK" w:eastAsia="方正黑体_GBK" w:cs="方正黑体_GBK"/>
          <w:b w:val="0"/>
          <w:bCs/>
          <w:color w:val="auto"/>
          <w:sz w:val="31"/>
          <w:szCs w:val="31"/>
          <w:highlight w:val="none"/>
          <w:lang w:eastAsia="zh-CN"/>
        </w:rPr>
      </w:pPr>
      <w:r>
        <w:rPr>
          <w:rFonts w:hint="eastAsia" w:ascii="方正黑体_GBK" w:hAnsi="方正黑体_GBK" w:eastAsia="方正黑体_GBK" w:cs="方正黑体_GBK"/>
          <w:b w:val="0"/>
          <w:bCs/>
          <w:color w:val="auto"/>
          <w:sz w:val="31"/>
          <w:szCs w:val="31"/>
          <w:highlight w:val="none"/>
          <w:lang w:eastAsia="zh-CN"/>
        </w:rPr>
        <w:t>二、绩效评价工作开展情况</w:t>
      </w:r>
    </w:p>
    <w:p w14:paraId="04203FF2">
      <w:pPr>
        <w:spacing w:line="560" w:lineRule="exact"/>
        <w:ind w:firstLine="620" w:firstLineChars="200"/>
        <w:rPr>
          <w:rFonts w:hint="eastAsia" w:ascii="方正楷体_GBK" w:hAnsi="方正楷体_GBK" w:eastAsia="方正楷体_GBK" w:cs="方正楷体_GBK"/>
          <w:b w:val="0"/>
          <w:bCs/>
          <w:color w:val="auto"/>
          <w:sz w:val="31"/>
          <w:szCs w:val="31"/>
          <w:highlight w:val="none"/>
        </w:rPr>
      </w:pPr>
      <w:r>
        <w:rPr>
          <w:rFonts w:hint="eastAsia" w:ascii="方正楷体_GBK" w:hAnsi="方正楷体_GBK" w:eastAsia="方正楷体_GBK" w:cs="方正楷体_GBK"/>
          <w:b w:val="0"/>
          <w:bCs/>
          <w:color w:val="auto"/>
          <w:sz w:val="31"/>
          <w:szCs w:val="31"/>
          <w:highlight w:val="none"/>
        </w:rPr>
        <w:t>（一）绩效评价目的、对象和范围</w:t>
      </w:r>
    </w:p>
    <w:p w14:paraId="23FE0101">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1.绩效评价完整性</w:t>
      </w:r>
    </w:p>
    <w:p w14:paraId="6E8C0892">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DB9D6B5">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在评价指标体系的构建上，充分考虑了项目的性质、目标以及预期成果，选取了具有代表性和可衡量性的关键指标，涵盖了社会效益、生态效益指标，力求全方位反映项目的绩效状况。同时，对于每个指标的评价标准和数据来源均进行了明确说明，确保评价结果的客观性和可追溯性。</w:t>
      </w:r>
    </w:p>
    <w:p w14:paraId="37DF34A0">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4C48D68">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C04731A">
      <w:pPr>
        <w:spacing w:line="560" w:lineRule="exact"/>
        <w:ind w:firstLine="620" w:firstLineChars="20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12325A3">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绩效评价的目的</w:t>
      </w:r>
    </w:p>
    <w:p w14:paraId="4866FCD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（1）评估项目实施效果</w:t>
      </w:r>
    </w:p>
    <w:p w14:paraId="7FA448D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通过对项目预算执行情况及各项绩效目标达成程度的系统性分析，全面、客观地评估项目在预定周期内的实施效果，包括</w:t>
      </w:r>
      <w:r>
        <w:rPr>
          <w:rFonts w:hint="eastAsia" w:ascii="方正仿宋_GBK" w:hAnsi="方正仿宋_GBK" w:eastAsia="方正仿宋_GBK" w:cs="方正仿宋_GBK"/>
          <w:b w:val="0"/>
          <w:bCs/>
          <w:color w:val="auto"/>
          <w:sz w:val="31"/>
          <w:szCs w:val="31"/>
          <w:highlight w:val="none"/>
          <w:lang w:val="en-US" w:eastAsia="zh-CN"/>
        </w:rPr>
        <w:t>社会效益、生态效益</w:t>
      </w:r>
      <w:r>
        <w:rPr>
          <w:rFonts w:hint="eastAsia" w:ascii="方正仿宋_GBK" w:hAnsi="方正仿宋_GBK" w:eastAsia="方正仿宋_GBK" w:cs="方正仿宋_GBK"/>
          <w:b w:val="0"/>
          <w:bCs/>
          <w:color w:val="auto"/>
          <w:sz w:val="31"/>
          <w:szCs w:val="31"/>
          <w:highlight w:val="none"/>
        </w:rPr>
        <w:t>指标，为项目后续的改进与优化提供科学依据。</w:t>
      </w:r>
    </w:p>
    <w:p w14:paraId="0A48A9AC">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（2）提升资源利用效率</w:t>
      </w:r>
    </w:p>
    <w:p w14:paraId="12DDAF1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2266BA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（3）强化项目管理责任</w:t>
      </w:r>
    </w:p>
    <w:p w14:paraId="13ED36B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07ED910">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val="en-US" w:eastAsia="zh-CN"/>
        </w:rPr>
        <w:t>4</w:t>
      </w:r>
      <w:r>
        <w:rPr>
          <w:rFonts w:hint="eastAsia" w:ascii="方正仿宋_GBK" w:hAnsi="方正仿宋_GBK" w:eastAsia="方正仿宋_GBK" w:cs="方正仿宋_GBK"/>
          <w:b w:val="0"/>
          <w:bCs/>
          <w:color w:val="auto"/>
          <w:sz w:val="31"/>
          <w:szCs w:val="31"/>
          <w:highlight w:val="none"/>
        </w:rPr>
        <w:t>）促进项目持续改进</w:t>
      </w:r>
    </w:p>
    <w:p w14:paraId="25D7308E">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D38221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17EC802">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3.</w:t>
      </w:r>
      <w:r>
        <w:rPr>
          <w:rFonts w:hint="eastAsia" w:ascii="方正仿宋_GBK" w:hAnsi="方正仿宋_GBK" w:eastAsia="方正仿宋_GBK" w:cs="方正仿宋_GBK"/>
          <w:b w:val="0"/>
          <w:bCs/>
          <w:color w:val="auto"/>
          <w:sz w:val="31"/>
          <w:szCs w:val="31"/>
          <w:highlight w:val="none"/>
        </w:rPr>
        <w:t>绩效评价的对象</w:t>
      </w:r>
    </w:p>
    <w:p w14:paraId="59236384">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本项目预算绩效评价报告的评价对象是</w:t>
      </w:r>
      <w:r>
        <w:rPr>
          <w:rFonts w:hint="eastAsia" w:ascii="方正仿宋_GBK" w:hAnsi="方正仿宋_GBK" w:eastAsia="方正仿宋_GBK" w:cs="方正仿宋_GBK"/>
          <w:b w:val="0"/>
          <w:bCs/>
          <w:color w:val="auto"/>
          <w:sz w:val="31"/>
          <w:szCs w:val="31"/>
          <w:highlight w:val="none"/>
          <w:lang w:eastAsia="zh-CN"/>
        </w:rPr>
        <w:t>2024年博湖县查干诺尔乡乌腾郭楞村美丽乡村建设试点项目</w:t>
      </w:r>
      <w:r>
        <w:rPr>
          <w:rFonts w:hint="eastAsia" w:ascii="方正仿宋_GBK" w:hAnsi="方正仿宋_GBK" w:eastAsia="方正仿宋_GBK" w:cs="方正仿宋_GBK"/>
          <w:b w:val="0"/>
          <w:bCs/>
          <w:color w:val="auto"/>
          <w:sz w:val="31"/>
          <w:szCs w:val="31"/>
          <w:highlight w:val="none"/>
        </w:rPr>
        <w:t>及其预算执行情况。该项目由博湖县查干诺尔乡人民政府负责实施，旨在改善村庄设施条件，不断提升公共服务水平，使全乡生态环境更加优良、乡村特色更加鲜明、公共服务更加配套，努力形成环境优美、生态</w:t>
      </w:r>
      <w:r>
        <w:rPr>
          <w:rFonts w:hint="eastAsia" w:ascii="方正仿宋_GBK" w:hAnsi="方正仿宋_GBK" w:eastAsia="方正仿宋_GBK" w:cs="方正仿宋_GBK"/>
          <w:b w:val="0"/>
          <w:bCs/>
          <w:color w:val="auto"/>
          <w:sz w:val="31"/>
          <w:szCs w:val="31"/>
          <w:highlight w:val="none"/>
          <w:lang w:eastAsia="zh-CN"/>
        </w:rPr>
        <w:t>宜居</w:t>
      </w:r>
      <w:r>
        <w:rPr>
          <w:rFonts w:hint="eastAsia" w:ascii="方正仿宋_GBK" w:hAnsi="方正仿宋_GBK" w:eastAsia="方正仿宋_GBK" w:cs="方正仿宋_GBK"/>
          <w:b w:val="0"/>
          <w:bCs/>
          <w:color w:val="auto"/>
          <w:sz w:val="31"/>
          <w:szCs w:val="31"/>
          <w:highlight w:val="none"/>
        </w:rPr>
        <w:t>、特色鲜明的乡村面貌，推动城乡发展一体化，加快建设美丽乡村。项目预算涵盖从</w:t>
      </w:r>
      <w:r>
        <w:rPr>
          <w:rFonts w:hint="eastAsia" w:ascii="方正仿宋_GBK" w:hAnsi="方正仿宋_GBK" w:eastAsia="方正仿宋_GBK" w:cs="方正仿宋_GBK"/>
          <w:b w:val="0"/>
          <w:bCs/>
          <w:color w:val="auto"/>
          <w:sz w:val="31"/>
          <w:szCs w:val="31"/>
          <w:highlight w:val="none"/>
          <w:lang w:val="en-US" w:eastAsia="zh-CN"/>
        </w:rPr>
        <w:t>2024年1月1日</w:t>
      </w:r>
      <w:r>
        <w:rPr>
          <w:rFonts w:hint="eastAsia" w:ascii="方正仿宋_GBK" w:hAnsi="方正仿宋_GBK" w:eastAsia="方正仿宋_GBK" w:cs="方正仿宋_GBK"/>
          <w:b w:val="0"/>
          <w:bCs/>
          <w:color w:val="auto"/>
          <w:sz w:val="31"/>
          <w:szCs w:val="31"/>
          <w:highlight w:val="none"/>
        </w:rPr>
        <w:t>至</w:t>
      </w:r>
      <w:r>
        <w:rPr>
          <w:rFonts w:hint="eastAsia" w:ascii="方正仿宋_GBK" w:hAnsi="方正仿宋_GBK" w:eastAsia="方正仿宋_GBK" w:cs="方正仿宋_GBK"/>
          <w:b w:val="0"/>
          <w:bCs/>
          <w:color w:val="auto"/>
          <w:sz w:val="31"/>
          <w:szCs w:val="31"/>
          <w:highlight w:val="none"/>
          <w:lang w:val="en-US" w:eastAsia="zh-CN"/>
        </w:rPr>
        <w:t>2024年12月30日</w:t>
      </w:r>
      <w:r>
        <w:rPr>
          <w:rFonts w:hint="eastAsia" w:ascii="方正仿宋_GBK" w:hAnsi="方正仿宋_GBK" w:eastAsia="方正仿宋_GBK" w:cs="方正仿宋_GBK"/>
          <w:b w:val="0"/>
          <w:bCs/>
          <w:color w:val="auto"/>
          <w:sz w:val="31"/>
          <w:szCs w:val="31"/>
          <w:highlight w:val="none"/>
        </w:rPr>
        <w:t>的全部资金投入与支出，涉及资金总额为158.7</w:t>
      </w:r>
      <w:r>
        <w:rPr>
          <w:rFonts w:hint="eastAsia" w:ascii="方正仿宋_GBK" w:hAnsi="方正仿宋_GBK" w:eastAsia="方正仿宋_GBK" w:cs="方正仿宋_GBK"/>
          <w:b w:val="0"/>
          <w:bCs/>
          <w:color w:val="auto"/>
          <w:sz w:val="31"/>
          <w:szCs w:val="31"/>
          <w:highlight w:val="none"/>
          <w:lang w:val="en-US" w:eastAsia="zh-CN"/>
        </w:rPr>
        <w:t>万</w:t>
      </w:r>
      <w:r>
        <w:rPr>
          <w:rFonts w:hint="eastAsia" w:ascii="方正仿宋_GBK" w:hAnsi="方正仿宋_GBK" w:eastAsia="方正仿宋_GBK" w:cs="方正仿宋_GBK"/>
          <w:b w:val="0"/>
          <w:bCs/>
          <w:color w:val="auto"/>
          <w:sz w:val="31"/>
          <w:szCs w:val="31"/>
          <w:highlight w:val="none"/>
        </w:rPr>
        <w:t>元。</w:t>
      </w:r>
    </w:p>
    <w:p w14:paraId="03F61822">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4.</w:t>
      </w:r>
      <w:r>
        <w:rPr>
          <w:rFonts w:hint="eastAsia" w:ascii="方正仿宋_GBK" w:hAnsi="方正仿宋_GBK" w:eastAsia="方正仿宋_GBK" w:cs="方正仿宋_GBK"/>
          <w:b w:val="0"/>
          <w:bCs/>
          <w:color w:val="auto"/>
          <w:sz w:val="31"/>
          <w:szCs w:val="31"/>
          <w:highlight w:val="none"/>
        </w:rPr>
        <w:t>绩效评价的范围</w:t>
      </w:r>
    </w:p>
    <w:p w14:paraId="5667483C">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本项目预算绩效评价报告的评价范围广泛而全面，涵盖了从项目立项至评价时点期间的所有关键预算活动和财务流程。具体而言，评价范围包括但不限于以下几个方面：</w:t>
      </w:r>
    </w:p>
    <w:p w14:paraId="7DB9A493">
      <w:pPr>
        <w:pStyle w:val="14"/>
        <w:widowControl w:val="0"/>
        <w:numPr>
          <w:ilvl w:val="0"/>
          <w:numId w:val="1"/>
        </w:numPr>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项目预算编制与执行：全面审视项目预算的编制依据、合理性、科学性以及实际执行情况，包括预算调整的原因和效果。</w:t>
      </w:r>
    </w:p>
    <w:p w14:paraId="088C9CFF">
      <w:pPr>
        <w:pStyle w:val="14"/>
        <w:widowControl w:val="0"/>
        <w:numPr>
          <w:ilvl w:val="0"/>
          <w:numId w:val="1"/>
        </w:numPr>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资金管理：深入分析项目资金的分配、使用和监管情况，确保资金使用的合规性、高效性和透明度。</w:t>
      </w:r>
    </w:p>
    <w:p w14:paraId="5DC850E0">
      <w:pPr>
        <w:pStyle w:val="14"/>
        <w:widowControl w:val="0"/>
        <w:numPr>
          <w:ilvl w:val="0"/>
          <w:numId w:val="1"/>
        </w:numPr>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项目实施进度与产出：评估项目是否按照既定计划顺利推进，各项任务是否按时完成，以及项目产出的数量、质量和时效性是否符合预期。</w:t>
      </w:r>
    </w:p>
    <w:p w14:paraId="2D2122E4">
      <w:pPr>
        <w:pStyle w:val="14"/>
        <w:widowControl w:val="0"/>
        <w:numPr>
          <w:ilvl w:val="0"/>
          <w:numId w:val="1"/>
        </w:numPr>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社会、生态</w:t>
      </w:r>
      <w:r>
        <w:rPr>
          <w:rFonts w:hint="eastAsia" w:ascii="方正仿宋_GBK" w:hAnsi="方正仿宋_GBK" w:eastAsia="方正仿宋_GBK" w:cs="方正仿宋_GBK"/>
          <w:b w:val="0"/>
          <w:bCs/>
          <w:color w:val="auto"/>
          <w:sz w:val="31"/>
          <w:szCs w:val="31"/>
          <w:highlight w:val="none"/>
        </w:rPr>
        <w:t>影响：考察项目对</w:t>
      </w:r>
      <w:r>
        <w:rPr>
          <w:rFonts w:hint="eastAsia" w:ascii="方正仿宋_GBK" w:hAnsi="方正仿宋_GBK" w:eastAsia="方正仿宋_GBK" w:cs="方正仿宋_GBK"/>
          <w:b w:val="0"/>
          <w:bCs/>
          <w:color w:val="auto"/>
          <w:sz w:val="31"/>
          <w:szCs w:val="31"/>
          <w:highlight w:val="none"/>
          <w:lang w:eastAsia="zh-CN"/>
        </w:rPr>
        <w:t>社会、生态</w:t>
      </w:r>
      <w:r>
        <w:rPr>
          <w:rFonts w:hint="eastAsia" w:ascii="方正仿宋_GBK" w:hAnsi="方正仿宋_GBK" w:eastAsia="方正仿宋_GBK" w:cs="方正仿宋_GBK"/>
          <w:b w:val="0"/>
          <w:bCs/>
          <w:color w:val="auto"/>
          <w:sz w:val="31"/>
          <w:szCs w:val="31"/>
          <w:highlight w:val="none"/>
        </w:rPr>
        <w:t>方面的综合影响</w:t>
      </w:r>
    </w:p>
    <w:p w14:paraId="03A1A53A">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楷体_GBK" w:hAnsi="方正楷体_GBK" w:eastAsia="方正楷体_GBK" w:cs="方正楷体_GBK"/>
          <w:b w:val="0"/>
          <w:bCs/>
          <w:color w:val="auto"/>
          <w:sz w:val="31"/>
          <w:szCs w:val="31"/>
          <w:highlight w:val="none"/>
        </w:rPr>
        <w:t>（二）绩效评价原则、评价指标体系（详情见表1）、评价方法、评价标准。</w:t>
      </w:r>
    </w:p>
    <w:p w14:paraId="75BC9DAF">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1</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绩效评价原则</w:t>
      </w:r>
    </w:p>
    <w:p w14:paraId="65E0C53B">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本次项目绩效评价遵循以下基本原则：</w:t>
      </w:r>
    </w:p>
    <w:p w14:paraId="3A2D6749">
      <w:pPr>
        <w:pStyle w:val="14"/>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（1）科学公正。绩效评价应当运用科学合理的方法，按照规范的程序，对项目绩效进行客观、公正的反映。</w:t>
      </w:r>
    </w:p>
    <w:p w14:paraId="73F47D38">
      <w:pPr>
        <w:pStyle w:val="14"/>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（2）统筹兼顾。单位自评、部门评价和财政评价应职责明确，各有侧重，相互衔接。单位自评应由项目单位自主实施，即“谁支出、谁自评”。部门评价和财政评价应在单位自评的基础上开展。</w:t>
      </w:r>
    </w:p>
    <w:p w14:paraId="5CAEE97E">
      <w:pPr>
        <w:pStyle w:val="14"/>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（3）激励约束。绩效评价结果应与预算安排、政策调整、改进管理实质性挂钩，体现奖优罚劣和激励相容导向，有效要安排、低效要压减、无效要问责。</w:t>
      </w:r>
    </w:p>
    <w:p w14:paraId="055391DD">
      <w:pPr>
        <w:pStyle w:val="14"/>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（4）公开透明。绩效评价结果应依法依规公开，并自觉接受社会监督。</w:t>
      </w:r>
    </w:p>
    <w:p w14:paraId="67D34916">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2</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评价指标体系</w:t>
      </w:r>
    </w:p>
    <w:p w14:paraId="1688D7CA">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绩效评价框架是开展绩效评价的核心。绩效评价框架包括评价准则、关键评价问题、评价指标、数据来源、数据收集方法等。指标体系建立过程如下：</w:t>
      </w:r>
    </w:p>
    <w:p w14:paraId="6253DB77">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（1）确定评价指标</w:t>
      </w:r>
    </w:p>
    <w:p w14:paraId="324D7CA4">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20F875BE">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（2）确定权重</w:t>
      </w:r>
    </w:p>
    <w:p w14:paraId="5D70AB8B">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lang w:eastAsia="zh-CN"/>
        </w:rPr>
      </w:pPr>
      <w:r>
        <w:rPr>
          <w:rFonts w:hint="eastAsia" w:ascii="方正仿宋_GBK" w:hAnsi="方正仿宋_GBK" w:eastAsia="方正仿宋_GBK" w:cs="方正仿宋_GBK"/>
          <w:b w:val="0"/>
          <w:bCs/>
          <w:color w:val="auto"/>
          <w:spacing w:val="17"/>
          <w:sz w:val="31"/>
          <w:szCs w:val="31"/>
          <w:highlight w:val="none"/>
        </w:rPr>
        <w:t>确定各个指标相对于项目总体绩效的权重分值。在绩效评价指标体系中，项目决策权重为20分，项目过程权重为20分，项目产出权重为40分，项目效益权重为20分。</w:t>
      </w:r>
    </w:p>
    <w:p w14:paraId="18DDE017">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（3）确定指标标准值</w:t>
      </w:r>
    </w:p>
    <w:p w14:paraId="49EE2891">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指标标准值是绩效评价指标的尺度，既要反映同类项目的先进水平，又要符合项目的实际绩效水平。具体采用计划标准等确定此次绩效评价指标标准值。</w:t>
      </w:r>
    </w:p>
    <w:p w14:paraId="187B5651">
      <w:pPr>
        <w:pStyle w:val="14"/>
        <w:spacing w:before="0" w:after="0" w:line="560" w:lineRule="exact"/>
        <w:ind w:firstLine="688" w:firstLineChars="200"/>
        <w:jc w:val="both"/>
        <w:rPr>
          <w:rFonts w:hint="eastAsia" w:ascii="方正仿宋_GBK" w:hAnsi="方正仿宋_GBK" w:eastAsia="方正仿宋_GBK" w:cs="方正仿宋_GBK"/>
          <w:b w:val="0"/>
          <w:bCs/>
          <w:color w:val="auto"/>
          <w:spacing w:val="17"/>
          <w:kern w:val="2"/>
          <w:sz w:val="31"/>
          <w:szCs w:val="31"/>
          <w:highlight w:val="none"/>
        </w:rPr>
      </w:pPr>
      <w:r>
        <w:rPr>
          <w:rFonts w:hint="eastAsia" w:ascii="方正仿宋_GBK" w:hAnsi="方正仿宋_GBK" w:eastAsia="方正仿宋_GBK" w:cs="方正仿宋_GBK"/>
          <w:b w:val="0"/>
          <w:bCs/>
          <w:color w:val="auto"/>
          <w:spacing w:val="17"/>
          <w:kern w:val="2"/>
          <w:sz w:val="31"/>
          <w:szCs w:val="31"/>
          <w:highlight w:val="none"/>
        </w:rPr>
        <w:t>绩效评价总分值100分，根据综合评分结果，90（含）-100分为优、80（含）-90分为良、60（含）-80分为中、60分以下为差。</w:t>
      </w:r>
    </w:p>
    <w:p w14:paraId="4B16FB20">
      <w:pPr>
        <w:pStyle w:val="14"/>
        <w:widowControl w:val="0"/>
        <w:spacing w:before="0" w:after="0" w:line="560" w:lineRule="exact"/>
        <w:ind w:firstLine="688" w:firstLineChars="200"/>
        <w:jc w:val="both"/>
        <w:outlineLvl w:val="9"/>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具体评价指标体系详情见附件1</w:t>
      </w:r>
    </w:p>
    <w:p w14:paraId="5E19C354">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3</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绩效评价方法</w:t>
      </w:r>
    </w:p>
    <w:p w14:paraId="42DB1F78">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绩效评价从项目决策、项目过程、项目产出、项目效益四个维度进行评价。评价对象为项目目标实施情况，  评价核心为资金的支出完成情况和项目的产出效益。</w:t>
      </w:r>
    </w:p>
    <w:p w14:paraId="00570721">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rPr>
      </w:pPr>
      <w:r>
        <w:rPr>
          <w:rFonts w:hint="eastAsia" w:ascii="方正仿宋_GBK" w:hAnsi="方正仿宋_GBK" w:eastAsia="方正仿宋_GBK" w:cs="方正仿宋_GBK"/>
          <w:b w:val="0"/>
          <w:bCs/>
          <w:color w:val="auto"/>
          <w:spacing w:val="17"/>
          <w:sz w:val="31"/>
          <w:szCs w:val="31"/>
          <w:highlight w:val="none"/>
        </w:rPr>
        <w:t>本次评价指标中，既有定性指标又有定量指标，各类指标因考核内容不同和客观标准不同存在较大差异，因此核定具体指标时采用了不同方法，具体评价方法如下：</w:t>
      </w:r>
    </w:p>
    <w:p w14:paraId="2A321D68">
      <w:pPr>
        <w:spacing w:line="560" w:lineRule="exact"/>
        <w:ind w:firstLine="688" w:firstLineChars="200"/>
        <w:rPr>
          <w:rFonts w:hint="eastAsia" w:ascii="方正仿宋_GBK" w:hAnsi="方正仿宋_GBK" w:eastAsia="方正仿宋_GBK" w:cs="方正仿宋_GBK"/>
          <w:b w:val="0"/>
          <w:bCs/>
          <w:color w:val="auto"/>
          <w:spacing w:val="17"/>
          <w:sz w:val="31"/>
          <w:szCs w:val="31"/>
          <w:highlight w:val="none"/>
          <w:lang w:eastAsia="zh-CN"/>
        </w:rPr>
      </w:pPr>
      <w:r>
        <w:rPr>
          <w:rFonts w:hint="eastAsia" w:ascii="方正仿宋_GBK" w:hAnsi="方正仿宋_GBK" w:eastAsia="方正仿宋_GBK" w:cs="方正仿宋_GBK"/>
          <w:b w:val="0"/>
          <w:bCs/>
          <w:color w:val="auto"/>
          <w:spacing w:val="17"/>
          <w:sz w:val="31"/>
          <w:szCs w:val="31"/>
          <w:highlight w:val="none"/>
        </w:rPr>
        <w:t>比较法。是指将</w:t>
      </w:r>
      <w:r>
        <w:rPr>
          <w:rFonts w:hint="eastAsia" w:ascii="方正仿宋_GBK" w:hAnsi="方正仿宋_GBK" w:eastAsia="方正仿宋_GBK" w:cs="方正仿宋_GBK"/>
          <w:b w:val="0"/>
          <w:bCs/>
          <w:color w:val="auto"/>
          <w:spacing w:val="17"/>
          <w:sz w:val="31"/>
          <w:szCs w:val="31"/>
          <w:highlight w:val="none"/>
          <w:lang w:eastAsia="zh-CN"/>
        </w:rPr>
        <w:t>本项目</w:t>
      </w:r>
      <w:r>
        <w:rPr>
          <w:rFonts w:hint="eastAsia" w:ascii="方正仿宋_GBK" w:hAnsi="方正仿宋_GBK" w:eastAsia="方正仿宋_GBK" w:cs="方正仿宋_GBK"/>
          <w:b w:val="0"/>
          <w:bCs/>
          <w:color w:val="auto"/>
          <w:spacing w:val="17"/>
          <w:sz w:val="31"/>
          <w:szCs w:val="31"/>
          <w:highlight w:val="none"/>
        </w:rPr>
        <w:t>实施情况与</w:t>
      </w:r>
      <w:r>
        <w:rPr>
          <w:rFonts w:hint="eastAsia" w:ascii="方正仿宋_GBK" w:hAnsi="方正仿宋_GBK" w:eastAsia="方正仿宋_GBK" w:cs="方正仿宋_GBK"/>
          <w:b w:val="0"/>
          <w:bCs/>
          <w:color w:val="auto"/>
          <w:spacing w:val="17"/>
          <w:sz w:val="31"/>
          <w:szCs w:val="31"/>
          <w:highlight w:val="none"/>
          <w:lang w:eastAsia="zh-CN"/>
        </w:rPr>
        <w:t>年初设定的新建围栏5543米，支持村内公益设施建设数量</w:t>
      </w:r>
      <w:r>
        <w:rPr>
          <w:rFonts w:hint="eastAsia" w:ascii="方正仿宋_GBK" w:hAnsi="方正仿宋_GBK" w:eastAsia="方正仿宋_GBK" w:cs="方正仿宋_GBK"/>
          <w:b w:val="0"/>
          <w:bCs/>
          <w:color w:val="auto"/>
          <w:spacing w:val="17"/>
          <w:sz w:val="31"/>
          <w:szCs w:val="31"/>
          <w:highlight w:val="none"/>
          <w:lang w:val="en-US" w:eastAsia="zh-CN"/>
        </w:rPr>
        <w:t>5个</w:t>
      </w:r>
      <w:r>
        <w:rPr>
          <w:rFonts w:hint="eastAsia" w:ascii="方正仿宋_GBK" w:hAnsi="方正仿宋_GBK" w:eastAsia="方正仿宋_GBK" w:cs="方正仿宋_GBK"/>
          <w:b w:val="0"/>
          <w:bCs/>
          <w:color w:val="auto"/>
          <w:spacing w:val="17"/>
          <w:sz w:val="31"/>
          <w:szCs w:val="31"/>
          <w:highlight w:val="none"/>
          <w:lang w:eastAsia="zh-CN"/>
        </w:rPr>
        <w:t>，新建供水井4座、检修1座，新建检修供水管网900米，公共区域地面硬化5593平方米，改善了村庄基础设施条件，提升了群众生产生活水平等目标进行比较。</w:t>
      </w:r>
    </w:p>
    <w:p w14:paraId="705D4221">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4</w:t>
      </w:r>
      <w:r>
        <w:rPr>
          <w:rFonts w:hint="eastAsia" w:ascii="方正仿宋_GBK" w:hAnsi="方正仿宋_GBK" w:eastAsia="方正仿宋_GBK" w:cs="方正仿宋_GBK"/>
          <w:b w:val="0"/>
          <w:bCs/>
          <w:color w:val="auto"/>
          <w:sz w:val="31"/>
          <w:szCs w:val="31"/>
          <w:highlight w:val="none"/>
          <w:lang w:val="en-US" w:eastAsia="zh-CN"/>
        </w:rPr>
        <w:t>.</w:t>
      </w:r>
      <w:r>
        <w:rPr>
          <w:rFonts w:hint="eastAsia" w:ascii="方正仿宋_GBK" w:hAnsi="方正仿宋_GBK" w:eastAsia="方正仿宋_GBK" w:cs="方正仿宋_GBK"/>
          <w:b w:val="0"/>
          <w:bCs/>
          <w:color w:val="auto"/>
          <w:sz w:val="31"/>
          <w:szCs w:val="31"/>
          <w:highlight w:val="none"/>
        </w:rPr>
        <w:t>评价标准</w:t>
      </w:r>
    </w:p>
    <w:p w14:paraId="1130BB85">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绩效评价标准通常包括计划标准、行业标准、历史标准等，用于对绩效指标完成情况进行比较、分析、评价。本次评价主要采用了计划标准。</w:t>
      </w:r>
    </w:p>
    <w:p w14:paraId="142EAE50">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原因是，根据2024年博湖县查干诺尔乡乌腾郭楞村美丽乡村建设试点项目实施方案，确定了预算，制定了本项目的目标及工作计划作为评价标准。</w:t>
      </w:r>
    </w:p>
    <w:p w14:paraId="1BF118D4">
      <w:pPr>
        <w:spacing w:line="560" w:lineRule="exact"/>
        <w:ind w:firstLine="620" w:firstLineChars="200"/>
        <w:rPr>
          <w:rFonts w:hint="eastAsia" w:ascii="方正楷体_GBK" w:hAnsi="方正楷体_GBK" w:eastAsia="方正楷体_GBK" w:cs="方正楷体_GBK"/>
          <w:b w:val="0"/>
          <w:bCs/>
          <w:color w:val="auto"/>
          <w:sz w:val="31"/>
          <w:szCs w:val="31"/>
          <w:highlight w:val="none"/>
        </w:rPr>
      </w:pPr>
      <w:r>
        <w:rPr>
          <w:rFonts w:hint="eastAsia" w:ascii="方正楷体_GBK" w:hAnsi="方正楷体_GBK" w:eastAsia="方正楷体_GBK" w:cs="方正楷体_GBK"/>
          <w:b w:val="0"/>
          <w:bCs/>
          <w:color w:val="auto"/>
          <w:sz w:val="31"/>
          <w:szCs w:val="31"/>
          <w:highlight w:val="none"/>
          <w:lang w:eastAsia="zh-CN"/>
        </w:rPr>
        <w:t>（三）</w:t>
      </w:r>
      <w:r>
        <w:rPr>
          <w:rFonts w:hint="eastAsia" w:ascii="方正楷体_GBK" w:hAnsi="方正楷体_GBK" w:eastAsia="方正楷体_GBK" w:cs="方正楷体_GBK"/>
          <w:b w:val="0"/>
          <w:bCs/>
          <w:color w:val="auto"/>
          <w:sz w:val="31"/>
          <w:szCs w:val="31"/>
          <w:highlight w:val="none"/>
        </w:rPr>
        <w:t>绩效评价工作过程</w:t>
      </w:r>
    </w:p>
    <w:p w14:paraId="577E8F1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rPr>
        <w:t>前期准备与规划</w:t>
      </w:r>
    </w:p>
    <w:p w14:paraId="0DB25474">
      <w:pPr>
        <w:spacing w:line="560" w:lineRule="exact"/>
        <w:ind w:firstLine="620" w:firstLineChars="20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在</w:t>
      </w:r>
      <w:r>
        <w:rPr>
          <w:rFonts w:hint="eastAsia" w:ascii="方正楷体_GBK" w:hAnsi="方正楷体_GBK" w:eastAsia="方正楷体_GBK" w:cs="方正楷体_GBK"/>
          <w:b w:val="0"/>
          <w:bCs/>
          <w:color w:val="auto"/>
          <w:sz w:val="31"/>
          <w:szCs w:val="31"/>
          <w:highlight w:val="none"/>
        </w:rPr>
        <w:t>项目</w:t>
      </w:r>
      <w:r>
        <w:rPr>
          <w:rFonts w:hint="eastAsia" w:ascii="方正仿宋_GBK" w:hAnsi="方正仿宋_GBK" w:eastAsia="方正仿宋_GBK" w:cs="方正仿宋_GBK"/>
          <w:b w:val="0"/>
          <w:bCs/>
          <w:color w:val="auto"/>
          <w:sz w:val="31"/>
          <w:szCs w:val="31"/>
          <w:highlight w:val="none"/>
        </w:rPr>
        <w:t>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78A5C2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lang w:eastAsia="zh-CN"/>
        </w:rPr>
        <w:t>）指标体系构建</w:t>
      </w:r>
    </w:p>
    <w:p w14:paraId="4738505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依据项目的性质、目标以及预期成果，构建了科学合理的绩效评价指标体系。该指标体系涵盖了</w:t>
      </w:r>
      <w:r>
        <w:rPr>
          <w:rFonts w:hint="eastAsia" w:ascii="方正仿宋_GBK" w:hAnsi="方正仿宋_GBK" w:eastAsia="方正仿宋_GBK" w:cs="方正仿宋_GBK"/>
          <w:b w:val="0"/>
          <w:bCs/>
          <w:color w:val="auto"/>
          <w:spacing w:val="17"/>
          <w:sz w:val="31"/>
          <w:szCs w:val="31"/>
          <w:highlight w:val="none"/>
        </w:rPr>
        <w:t>项目决策、项目过程、项目产出、项目效益四个维度</w:t>
      </w:r>
      <w:r>
        <w:rPr>
          <w:rFonts w:hint="eastAsia" w:ascii="方正仿宋_GBK" w:hAnsi="方正仿宋_GBK" w:eastAsia="方正仿宋_GBK" w:cs="方正仿宋_GBK"/>
          <w:b w:val="0"/>
          <w:bCs/>
          <w:color w:val="auto"/>
          <w:sz w:val="31"/>
          <w:szCs w:val="31"/>
          <w:highlight w:val="none"/>
          <w:lang w:eastAsia="zh-CN"/>
        </w:rPr>
        <w:t>，选取了具有代表性和可衡量性的关键指标，并为每个指标设定了明确的评价标准与权重，确保评价结果能够全面、准确地反映项目的绩效状况。</w:t>
      </w:r>
    </w:p>
    <w:p w14:paraId="01A5298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3</w:t>
      </w:r>
      <w:r>
        <w:rPr>
          <w:rFonts w:hint="eastAsia" w:ascii="方正仿宋_GBK" w:hAnsi="方正仿宋_GBK" w:eastAsia="方正仿宋_GBK" w:cs="方正仿宋_GBK"/>
          <w:b w:val="0"/>
          <w:bCs/>
          <w:color w:val="auto"/>
          <w:sz w:val="31"/>
          <w:szCs w:val="31"/>
          <w:highlight w:val="none"/>
          <w:lang w:eastAsia="zh-CN"/>
        </w:rPr>
        <w:t>）数据收集与整理</w:t>
      </w:r>
    </w:p>
    <w:p w14:paraId="04C3758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856A35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4</w:t>
      </w:r>
      <w:r>
        <w:rPr>
          <w:rFonts w:hint="eastAsia" w:ascii="方正仿宋_GBK" w:hAnsi="方正仿宋_GBK" w:eastAsia="方正仿宋_GBK" w:cs="方正仿宋_GBK"/>
          <w:b w:val="0"/>
          <w:bCs/>
          <w:color w:val="auto"/>
          <w:sz w:val="31"/>
          <w:szCs w:val="31"/>
          <w:highlight w:val="none"/>
          <w:lang w:eastAsia="zh-CN"/>
        </w:rPr>
        <w:t>）数据分析与评估</w:t>
      </w:r>
    </w:p>
    <w:p w14:paraId="5CABBE9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E5BF29D">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5</w:t>
      </w:r>
      <w:r>
        <w:rPr>
          <w:rFonts w:hint="eastAsia" w:ascii="方正仿宋_GBK" w:hAnsi="方正仿宋_GBK" w:eastAsia="方正仿宋_GBK" w:cs="方正仿宋_GBK"/>
          <w:b w:val="0"/>
          <w:bCs/>
          <w:color w:val="auto"/>
          <w:sz w:val="31"/>
          <w:szCs w:val="31"/>
          <w:highlight w:val="none"/>
          <w:lang w:eastAsia="zh-CN"/>
        </w:rPr>
        <w:t>）报告撰写与反馈</w:t>
      </w:r>
    </w:p>
    <w:p w14:paraId="32D0C2E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610240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6</w:t>
      </w:r>
      <w:r>
        <w:rPr>
          <w:rFonts w:hint="eastAsia" w:ascii="方正仿宋_GBK" w:hAnsi="方正仿宋_GBK" w:eastAsia="方正仿宋_GBK" w:cs="方正仿宋_GBK"/>
          <w:b w:val="0"/>
          <w:bCs/>
          <w:color w:val="auto"/>
          <w:sz w:val="31"/>
          <w:szCs w:val="31"/>
          <w:highlight w:val="none"/>
          <w:lang w:eastAsia="zh-CN"/>
        </w:rPr>
        <w:t>）后续跟踪与改进</w:t>
      </w:r>
    </w:p>
    <w:p w14:paraId="10A7558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6DBE7D1">
      <w:pPr>
        <w:spacing w:line="560" w:lineRule="exact"/>
        <w:ind w:firstLine="620" w:firstLineChars="200"/>
        <w:rPr>
          <w:rFonts w:hint="eastAsia" w:ascii="方正黑体_GBK" w:hAnsi="方正黑体_GBK" w:eastAsia="方正黑体_GBK" w:cs="方正黑体_GBK"/>
          <w:b w:val="0"/>
          <w:bCs/>
          <w:color w:val="auto"/>
          <w:sz w:val="31"/>
          <w:szCs w:val="31"/>
          <w:highlight w:val="none"/>
        </w:rPr>
      </w:pPr>
      <w:r>
        <w:rPr>
          <w:rFonts w:hint="eastAsia" w:ascii="方正黑体_GBK" w:hAnsi="方正黑体_GBK" w:eastAsia="方正黑体_GBK" w:cs="方正黑体_GBK"/>
          <w:b w:val="0"/>
          <w:bCs/>
          <w:color w:val="auto"/>
          <w:sz w:val="31"/>
          <w:szCs w:val="31"/>
          <w:highlight w:val="none"/>
          <w:lang w:eastAsia="zh-CN"/>
        </w:rPr>
        <w:t>三、</w:t>
      </w:r>
      <w:r>
        <w:rPr>
          <w:rFonts w:hint="eastAsia" w:ascii="方正黑体_GBK" w:hAnsi="方正黑体_GBK" w:eastAsia="方正黑体_GBK" w:cs="方正黑体_GBK"/>
          <w:b w:val="0"/>
          <w:bCs/>
          <w:color w:val="auto"/>
          <w:sz w:val="31"/>
          <w:szCs w:val="31"/>
          <w:highlight w:val="none"/>
        </w:rPr>
        <w:t>综合评价情况及评价结论（附相关评分表）</w:t>
      </w:r>
    </w:p>
    <w:p w14:paraId="442B46A8">
      <w:pPr>
        <w:pStyle w:val="14"/>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（一）评价情况</w:t>
      </w:r>
    </w:p>
    <w:p w14:paraId="3D60C12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本项目的综合评价基于对项目各方面绩效的深入分析与评估。从项目目标的达成情况来看，</w:t>
      </w:r>
      <w:r>
        <w:rPr>
          <w:rFonts w:hint="eastAsia" w:ascii="方正仿宋_GBK" w:hAnsi="方正仿宋_GBK" w:eastAsia="方正仿宋_GBK" w:cs="方正仿宋_GBK"/>
          <w:b w:val="0"/>
          <w:bCs/>
          <w:color w:val="auto"/>
          <w:sz w:val="31"/>
          <w:szCs w:val="31"/>
          <w:highlight w:val="none"/>
          <w:lang w:eastAsia="zh-CN"/>
        </w:rPr>
        <w:t>2024年博湖县查干诺尔乡乌腾郭楞村美丽乡村建设试点项目</w:t>
      </w:r>
      <w:r>
        <w:rPr>
          <w:rFonts w:hint="eastAsia" w:ascii="方正仿宋_GBK" w:hAnsi="方正仿宋_GBK" w:eastAsia="方正仿宋_GBK" w:cs="方正仿宋_GBK"/>
          <w:b w:val="0"/>
          <w:bCs/>
          <w:color w:val="auto"/>
          <w:sz w:val="31"/>
          <w:szCs w:val="31"/>
          <w:highlight w:val="none"/>
        </w:rPr>
        <w:t>在公共基础设施建设维护，新建供水井4座、检修1座，新建检修供水管网900米，公共区域地面硬化5593平方米等方面表现出色，达到了预期的标准与要求。同时，项目也在</w:t>
      </w:r>
      <w:r>
        <w:rPr>
          <w:rFonts w:hint="eastAsia" w:ascii="方正仿宋_GBK" w:hAnsi="方正仿宋_GBK" w:eastAsia="方正仿宋_GBK" w:cs="方正仿宋_GBK"/>
          <w:b w:val="0"/>
          <w:bCs/>
          <w:color w:val="auto"/>
          <w:sz w:val="31"/>
          <w:szCs w:val="31"/>
          <w:highlight w:val="none"/>
          <w:lang w:eastAsia="zh-CN"/>
        </w:rPr>
        <w:t>打造美丽乡村方面</w:t>
      </w:r>
      <w:r>
        <w:rPr>
          <w:rFonts w:hint="eastAsia" w:ascii="方正仿宋_GBK" w:hAnsi="方正仿宋_GBK" w:eastAsia="方正仿宋_GBK" w:cs="方正仿宋_GBK"/>
          <w:b w:val="0"/>
          <w:bCs/>
          <w:color w:val="auto"/>
          <w:sz w:val="31"/>
          <w:szCs w:val="31"/>
          <w:highlight w:val="none"/>
        </w:rPr>
        <w:t>取得了显著的成效，如</w:t>
      </w:r>
      <w:r>
        <w:rPr>
          <w:rFonts w:hint="eastAsia" w:ascii="方正仿宋_GBK" w:hAnsi="方正仿宋_GBK" w:eastAsia="方正仿宋_GBK" w:cs="方正仿宋_GBK"/>
          <w:b w:val="0"/>
          <w:bCs/>
          <w:color w:val="auto"/>
          <w:sz w:val="31"/>
          <w:szCs w:val="31"/>
          <w:highlight w:val="none"/>
          <w:lang w:val="en-US" w:eastAsia="zh-CN"/>
        </w:rPr>
        <w:t>改善了农村生态环境、人居环境和发展环境；补齐了人居环境短板</w:t>
      </w:r>
      <w:r>
        <w:rPr>
          <w:rFonts w:hint="eastAsia" w:ascii="方正仿宋_GBK" w:hAnsi="方正仿宋_GBK" w:eastAsia="方正仿宋_GBK" w:cs="方正仿宋_GBK"/>
          <w:b w:val="0"/>
          <w:bCs/>
          <w:color w:val="auto"/>
          <w:sz w:val="31"/>
          <w:szCs w:val="31"/>
          <w:highlight w:val="none"/>
        </w:rPr>
        <w:t>等。</w:t>
      </w:r>
    </w:p>
    <w:p w14:paraId="75CF61D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在项目管理方面2024年博湖县查干诺尔乡乌腾郭楞村美丽乡村建设试点项目通过有效的规划、组织与协调，项目得以顺利实施，并在预算与时间上保持了良好的控制。</w:t>
      </w:r>
    </w:p>
    <w:p w14:paraId="5DF8A960">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从项目效益的角度来看，本项目不仅实现了预期的社会效益</w:t>
      </w:r>
      <w:r>
        <w:rPr>
          <w:rFonts w:hint="eastAsia" w:ascii="方正仿宋_GBK" w:hAnsi="方正仿宋_GBK" w:eastAsia="方正仿宋_GBK" w:cs="方正仿宋_GBK"/>
          <w:b w:val="0"/>
          <w:bCs/>
          <w:color w:val="auto"/>
          <w:sz w:val="31"/>
          <w:szCs w:val="31"/>
          <w:highlight w:val="none"/>
          <w:lang w:eastAsia="zh-CN"/>
        </w:rPr>
        <w:t>、生态效益</w:t>
      </w:r>
      <w:r>
        <w:rPr>
          <w:rFonts w:hint="eastAsia" w:ascii="方正仿宋_GBK" w:hAnsi="方正仿宋_GBK" w:eastAsia="方正仿宋_GBK" w:cs="方正仿宋_GBK"/>
          <w:b w:val="0"/>
          <w:bCs/>
          <w:color w:val="auto"/>
          <w:sz w:val="31"/>
          <w:szCs w:val="31"/>
          <w:highlight w:val="none"/>
        </w:rPr>
        <w:t>方面产生了积极的影响。具体而言，改善</w:t>
      </w:r>
      <w:r>
        <w:rPr>
          <w:rFonts w:hint="eastAsia" w:ascii="方正仿宋_GBK" w:hAnsi="方正仿宋_GBK" w:eastAsia="方正仿宋_GBK" w:cs="方正仿宋_GBK"/>
          <w:b w:val="0"/>
          <w:bCs/>
          <w:color w:val="auto"/>
          <w:sz w:val="31"/>
          <w:szCs w:val="31"/>
          <w:highlight w:val="none"/>
          <w:lang w:eastAsia="zh-CN"/>
        </w:rPr>
        <w:t>了</w:t>
      </w:r>
      <w:r>
        <w:rPr>
          <w:rFonts w:hint="eastAsia" w:ascii="方正仿宋_GBK" w:hAnsi="方正仿宋_GBK" w:eastAsia="方正仿宋_GBK" w:cs="方正仿宋_GBK"/>
          <w:b w:val="0"/>
          <w:bCs/>
          <w:color w:val="auto"/>
          <w:sz w:val="31"/>
          <w:szCs w:val="31"/>
          <w:highlight w:val="none"/>
        </w:rPr>
        <w:t>村庄设施条件，提升</w:t>
      </w:r>
      <w:r>
        <w:rPr>
          <w:rFonts w:hint="eastAsia" w:ascii="方正仿宋_GBK" w:hAnsi="方正仿宋_GBK" w:eastAsia="方正仿宋_GBK" w:cs="方正仿宋_GBK"/>
          <w:b w:val="0"/>
          <w:bCs/>
          <w:color w:val="auto"/>
          <w:sz w:val="31"/>
          <w:szCs w:val="31"/>
          <w:highlight w:val="none"/>
          <w:lang w:eastAsia="zh-CN"/>
        </w:rPr>
        <w:t>了</w:t>
      </w:r>
      <w:r>
        <w:rPr>
          <w:rFonts w:hint="eastAsia" w:ascii="方正仿宋_GBK" w:hAnsi="方正仿宋_GBK" w:eastAsia="方正仿宋_GBK" w:cs="方正仿宋_GBK"/>
          <w:b w:val="0"/>
          <w:bCs/>
          <w:color w:val="auto"/>
          <w:sz w:val="31"/>
          <w:szCs w:val="31"/>
          <w:highlight w:val="none"/>
        </w:rPr>
        <w:t>公共服务水平，使全乡生态环境更加优良、乡村特色更加鲜明、公共服务更加配套，为项目的利益相关者带来了实实在在的利益。</w:t>
      </w:r>
    </w:p>
    <w:p w14:paraId="5EBB144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综上所述</w:t>
      </w:r>
      <w:r>
        <w:rPr>
          <w:rFonts w:hint="eastAsia" w:ascii="方正仿宋_GBK" w:hAnsi="方正仿宋_GBK" w:eastAsia="方正仿宋_GBK" w:cs="方正仿宋_GBK"/>
          <w:b w:val="0"/>
          <w:bCs/>
          <w:color w:val="auto"/>
          <w:sz w:val="31"/>
          <w:szCs w:val="31"/>
          <w:highlight w:val="none"/>
          <w:lang w:val="en-US" w:eastAsia="zh-CN"/>
        </w:rPr>
        <w:t>2024年博湖县查干诺尔乡乌腾郭楞村美丽乡村建设试点项目</w:t>
      </w:r>
      <w:r>
        <w:rPr>
          <w:rFonts w:hint="eastAsia" w:ascii="方正仿宋_GBK" w:hAnsi="方正仿宋_GBK" w:eastAsia="方正仿宋_GBK" w:cs="方正仿宋_GBK"/>
          <w:b w:val="0"/>
          <w:bCs/>
          <w:color w:val="auto"/>
          <w:sz w:val="31"/>
          <w:szCs w:val="31"/>
          <w:highlight w:val="none"/>
        </w:rPr>
        <w:t>在绩效评价中表现出色，达到了项目的预期目标，并在多个方面取得了显著的成效。</w:t>
      </w:r>
    </w:p>
    <w:p w14:paraId="53EBF881">
      <w:pPr>
        <w:pStyle w:val="14"/>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（二）评价结论</w:t>
      </w:r>
    </w:p>
    <w:p w14:paraId="672AA42E">
      <w:pPr>
        <w:pStyle w:val="14"/>
        <w:widowControl w:val="0"/>
        <w:spacing w:before="0" w:after="0" w:line="560" w:lineRule="exact"/>
        <w:ind w:firstLine="620" w:firstLineChars="200"/>
        <w:jc w:val="both"/>
        <w:outlineLvl w:val="9"/>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方正仿宋_GBK" w:hAnsi="方正仿宋_GBK" w:eastAsia="方正仿宋_GBK" w:cs="方正仿宋_GBK"/>
          <w:b w:val="0"/>
          <w:bCs/>
          <w:color w:val="auto"/>
          <w:sz w:val="31"/>
          <w:szCs w:val="31"/>
          <w:highlight w:val="none"/>
          <w:lang w:val="en-US" w:eastAsia="zh-CN"/>
        </w:rPr>
        <w:t>83.33</w:t>
      </w:r>
      <w:r>
        <w:rPr>
          <w:rFonts w:hint="eastAsia" w:ascii="方正仿宋_GBK" w:hAnsi="方正仿宋_GBK" w:eastAsia="方正仿宋_GBK" w:cs="方正仿宋_GBK"/>
          <w:b w:val="0"/>
          <w:bCs/>
          <w:color w:val="auto"/>
          <w:sz w:val="31"/>
          <w:szCs w:val="31"/>
          <w:highlight w:val="none"/>
        </w:rPr>
        <w:t>分，属于</w:t>
      </w:r>
      <w:r>
        <w:rPr>
          <w:rFonts w:hint="eastAsia" w:ascii="方正仿宋_GBK" w:hAnsi="方正仿宋_GBK" w:eastAsia="方正仿宋_GBK" w:cs="方正仿宋_GBK"/>
          <w:b w:val="0"/>
          <w:bCs/>
          <w:color w:val="auto"/>
          <w:sz w:val="31"/>
          <w:szCs w:val="31"/>
          <w:highlight w:val="none"/>
          <w:lang w:eastAsia="zh-CN"/>
        </w:rPr>
        <w:t>良</w:t>
      </w:r>
      <w:r>
        <w:rPr>
          <w:rFonts w:hint="eastAsia" w:ascii="方正仿宋_GBK" w:hAnsi="方正仿宋_GBK" w:eastAsia="方正仿宋_GBK" w:cs="方正仿宋_GBK"/>
          <w:b w:val="0"/>
          <w:bCs/>
          <w:color w:val="auto"/>
          <w:sz w:val="31"/>
          <w:szCs w:val="31"/>
          <w:highlight w:val="none"/>
        </w:rPr>
        <w:t xml:space="preserve">。其中，项目决策类指标权重为20分，得分为 </w:t>
      </w:r>
      <w:r>
        <w:rPr>
          <w:rFonts w:hint="eastAsia" w:ascii="方正仿宋_GBK" w:hAnsi="方正仿宋_GBK" w:eastAsia="方正仿宋_GBK" w:cs="方正仿宋_GBK"/>
          <w:b w:val="0"/>
          <w:bCs/>
          <w:color w:val="auto"/>
          <w:sz w:val="31"/>
          <w:szCs w:val="31"/>
          <w:highlight w:val="none"/>
          <w:lang w:val="en-US" w:eastAsia="zh-CN"/>
        </w:rPr>
        <w:t>20</w:t>
      </w:r>
      <w:r>
        <w:rPr>
          <w:rFonts w:hint="eastAsia" w:ascii="方正仿宋_GBK" w:hAnsi="方正仿宋_GBK" w:eastAsia="方正仿宋_GBK" w:cs="方正仿宋_GBK"/>
          <w:b w:val="0"/>
          <w:bCs/>
          <w:color w:val="auto"/>
          <w:sz w:val="31"/>
          <w:szCs w:val="31"/>
          <w:highlight w:val="none"/>
        </w:rPr>
        <w:t>分，得分率为</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%。项目过程类指标权重为20分，得分为</w:t>
      </w:r>
      <w:r>
        <w:rPr>
          <w:rFonts w:hint="eastAsia" w:ascii="方正仿宋_GBK" w:hAnsi="方正仿宋_GBK" w:eastAsia="方正仿宋_GBK" w:cs="方正仿宋_GBK"/>
          <w:b w:val="0"/>
          <w:bCs/>
          <w:color w:val="auto"/>
          <w:sz w:val="31"/>
          <w:szCs w:val="31"/>
          <w:highlight w:val="none"/>
          <w:lang w:val="en-US" w:eastAsia="zh-CN"/>
        </w:rPr>
        <w:t>20</w:t>
      </w:r>
      <w:r>
        <w:rPr>
          <w:rFonts w:hint="eastAsia" w:ascii="方正仿宋_GBK" w:hAnsi="方正仿宋_GBK" w:eastAsia="方正仿宋_GBK" w:cs="方正仿宋_GBK"/>
          <w:b w:val="0"/>
          <w:bCs/>
          <w:color w:val="auto"/>
          <w:sz w:val="31"/>
          <w:szCs w:val="31"/>
          <w:highlight w:val="none"/>
        </w:rPr>
        <w:t>分，得分率为</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%。项目产出类指标权重为40分，得分为</w:t>
      </w:r>
      <w:r>
        <w:rPr>
          <w:rFonts w:hint="eastAsia" w:ascii="方正仿宋_GBK" w:hAnsi="方正仿宋_GBK" w:eastAsia="方正仿宋_GBK" w:cs="方正仿宋_GBK"/>
          <w:b w:val="0"/>
          <w:bCs/>
          <w:color w:val="auto"/>
          <w:sz w:val="31"/>
          <w:szCs w:val="31"/>
          <w:highlight w:val="none"/>
          <w:lang w:val="en-US" w:eastAsia="zh-CN"/>
        </w:rPr>
        <w:t>23.33</w:t>
      </w:r>
      <w:r>
        <w:rPr>
          <w:rFonts w:hint="eastAsia" w:ascii="方正仿宋_GBK" w:hAnsi="方正仿宋_GBK" w:eastAsia="方正仿宋_GBK" w:cs="方正仿宋_GBK"/>
          <w:b w:val="0"/>
          <w:bCs/>
          <w:color w:val="auto"/>
          <w:sz w:val="31"/>
          <w:szCs w:val="31"/>
          <w:highlight w:val="none"/>
        </w:rPr>
        <w:t>分，得分率为</w:t>
      </w:r>
      <w:r>
        <w:rPr>
          <w:rFonts w:hint="eastAsia" w:ascii="方正仿宋_GBK" w:hAnsi="方正仿宋_GBK" w:eastAsia="方正仿宋_GBK" w:cs="方正仿宋_GBK"/>
          <w:b w:val="0"/>
          <w:bCs/>
          <w:color w:val="auto"/>
          <w:sz w:val="31"/>
          <w:szCs w:val="31"/>
          <w:highlight w:val="none"/>
          <w:lang w:val="en-US" w:eastAsia="zh-CN"/>
        </w:rPr>
        <w:t>58.33</w:t>
      </w:r>
      <w:r>
        <w:rPr>
          <w:rFonts w:hint="eastAsia" w:ascii="方正仿宋_GBK" w:hAnsi="方正仿宋_GBK" w:eastAsia="方正仿宋_GBK" w:cs="方正仿宋_GBK"/>
          <w:b w:val="0"/>
          <w:bCs/>
          <w:color w:val="auto"/>
          <w:sz w:val="31"/>
          <w:szCs w:val="31"/>
          <w:highlight w:val="none"/>
        </w:rPr>
        <w:t>%。项目效益类指标权重为20分，得分为</w:t>
      </w:r>
      <w:r>
        <w:rPr>
          <w:rFonts w:hint="eastAsia" w:ascii="方正仿宋_GBK" w:hAnsi="方正仿宋_GBK" w:eastAsia="方正仿宋_GBK" w:cs="方正仿宋_GBK"/>
          <w:b w:val="0"/>
          <w:bCs/>
          <w:color w:val="auto"/>
          <w:sz w:val="31"/>
          <w:szCs w:val="31"/>
          <w:highlight w:val="none"/>
          <w:lang w:val="en-US" w:eastAsia="zh-CN"/>
        </w:rPr>
        <w:t>20</w:t>
      </w:r>
      <w:r>
        <w:rPr>
          <w:rFonts w:hint="eastAsia" w:ascii="方正仿宋_GBK" w:hAnsi="方正仿宋_GBK" w:eastAsia="方正仿宋_GBK" w:cs="方正仿宋_GBK"/>
          <w:b w:val="0"/>
          <w:bCs/>
          <w:color w:val="auto"/>
          <w:sz w:val="31"/>
          <w:szCs w:val="31"/>
          <w:highlight w:val="none"/>
        </w:rPr>
        <w:t>分，得分率为</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%。具体打分情况详见：附件1综合评分表</w:t>
      </w:r>
      <w:r>
        <w:rPr>
          <w:rFonts w:hint="eastAsia" w:ascii="方正仿宋_GBK" w:hAnsi="方正仿宋_GBK" w:eastAsia="方正仿宋_GBK" w:cs="方正仿宋_GBK"/>
          <w:b w:val="0"/>
          <w:bCs/>
          <w:color w:val="auto"/>
          <w:sz w:val="31"/>
          <w:szCs w:val="31"/>
          <w:highlight w:val="none"/>
          <w:lang w:eastAsia="zh-CN"/>
        </w:rPr>
        <w:t>。</w:t>
      </w:r>
    </w:p>
    <w:p w14:paraId="574F5E20">
      <w:pPr>
        <w:pStyle w:val="14"/>
        <w:keepNext w:val="0"/>
        <w:keepLines w:val="0"/>
        <w:pageBreakBefore w:val="0"/>
        <w:widowControl/>
        <w:kinsoku/>
        <w:wordWrap/>
        <w:overflowPunct/>
        <w:topLinePunct w:val="0"/>
        <w:autoSpaceDE/>
        <w:autoSpaceDN/>
        <w:bidi w:val="0"/>
        <w:adjustRightInd/>
        <w:snapToGrid/>
        <w:spacing w:before="0" w:after="0"/>
        <w:textAlignment w:val="auto"/>
        <w:rPr>
          <w:rFonts w:hint="eastAsia" w:ascii="方正仿宋_GBK" w:hAnsi="方正仿宋_GBK" w:eastAsia="方正仿宋_GBK" w:cs="方正仿宋_GBK"/>
          <w:b w:val="0"/>
          <w:bCs/>
          <w:color w:val="auto"/>
          <w:sz w:val="31"/>
          <w:szCs w:val="31"/>
          <w:highlight w:val="none"/>
        </w:rPr>
      </w:pPr>
    </w:p>
    <w:p w14:paraId="354AD8BF">
      <w:pPr>
        <w:pStyle w:val="14"/>
        <w:keepNext w:val="0"/>
        <w:keepLines w:val="0"/>
        <w:pageBreakBefore w:val="0"/>
        <w:widowControl/>
        <w:kinsoku/>
        <w:wordWrap/>
        <w:overflowPunct/>
        <w:topLinePunct w:val="0"/>
        <w:autoSpaceDE/>
        <w:autoSpaceDN/>
        <w:bidi w:val="0"/>
        <w:adjustRightInd/>
        <w:snapToGrid/>
        <w:spacing w:before="0" w:after="0"/>
        <w:textAlignment w:val="auto"/>
        <w:rPr>
          <w:rFonts w:hint="eastAsia" w:ascii="方正仿宋_GBK" w:hAnsi="方正仿宋_GBK" w:eastAsia="方正仿宋_GBK" w:cs="方正仿宋_GBK"/>
          <w:b w:val="0"/>
          <w:bCs/>
          <w:color w:val="auto"/>
          <w:sz w:val="31"/>
          <w:szCs w:val="31"/>
          <w:highlight w:val="none"/>
        </w:rPr>
      </w:pPr>
    </w:p>
    <w:p w14:paraId="613D6210">
      <w:pPr>
        <w:rPr>
          <w:rFonts w:hint="eastAsia" w:ascii="方正仿宋_GBK" w:hAnsi="方正仿宋_GBK" w:eastAsia="方正仿宋_GBK" w:cs="方正仿宋_GBK"/>
          <w:b w:val="0"/>
          <w:bCs/>
          <w:color w:val="auto"/>
          <w:sz w:val="31"/>
          <w:szCs w:val="31"/>
          <w:highlight w:val="none"/>
        </w:rPr>
      </w:pPr>
    </w:p>
    <w:p w14:paraId="401674C3">
      <w:pPr>
        <w:pStyle w:val="2"/>
        <w:rPr>
          <w:rFonts w:hint="eastAsia"/>
          <w:highlight w:val="none"/>
        </w:rPr>
      </w:pPr>
    </w:p>
    <w:p w14:paraId="22BCA728">
      <w:pPr>
        <w:pStyle w:val="14"/>
        <w:keepNext w:val="0"/>
        <w:keepLines w:val="0"/>
        <w:pageBreakBefore w:val="0"/>
        <w:widowControl/>
        <w:kinsoku/>
        <w:wordWrap/>
        <w:overflowPunct/>
        <w:topLinePunct w:val="0"/>
        <w:autoSpaceDE/>
        <w:autoSpaceDN/>
        <w:bidi w:val="0"/>
        <w:adjustRightInd/>
        <w:snapToGrid/>
        <w:spacing w:before="0" w:after="0"/>
        <w:textAlignment w:val="auto"/>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3F6CE938">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42418265">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4780C6DA">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3A65A843">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得分</w:t>
            </w:r>
          </w:p>
        </w:tc>
      </w:tr>
      <w:tr w14:paraId="67265E4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B861161">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03B0EBBB">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75C84BB">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r>
      <w:tr w14:paraId="15546D6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1B982A1">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2B4D4D77">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FD09923">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r>
      <w:tr w14:paraId="3133053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CB32566">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36977D31">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73F10F9">
            <w:pPr>
              <w:jc w:val="center"/>
              <w:rPr>
                <w:rFonts w:hint="default"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23.33</w:t>
            </w:r>
          </w:p>
        </w:tc>
      </w:tr>
      <w:tr w14:paraId="0230184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D73E81A">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1D754149">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B78AD9E">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20</w:t>
            </w:r>
          </w:p>
        </w:tc>
      </w:tr>
      <w:tr w14:paraId="1CDC7BF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38B9983">
            <w:pPr>
              <w:jc w:val="center"/>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3FD33D38">
            <w:pPr>
              <w:jc w:val="center"/>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3874A490">
            <w:pPr>
              <w:jc w:val="center"/>
              <w:rPr>
                <w:rFonts w:hint="default"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83.33</w:t>
            </w:r>
          </w:p>
        </w:tc>
      </w:tr>
    </w:tbl>
    <w:p w14:paraId="2EB1A84A">
      <w:pPr>
        <w:spacing w:line="560" w:lineRule="exact"/>
        <w:ind w:firstLine="620" w:firstLineChars="200"/>
        <w:rPr>
          <w:rFonts w:hint="eastAsia" w:ascii="方正黑体_GBK" w:hAnsi="方正黑体_GBK" w:eastAsia="方正黑体_GBK" w:cs="方正黑体_GBK"/>
          <w:b w:val="0"/>
          <w:bCs/>
          <w:color w:val="auto"/>
          <w:sz w:val="31"/>
          <w:szCs w:val="31"/>
          <w:highlight w:val="none"/>
          <w:lang w:eastAsia="zh-CN"/>
        </w:rPr>
      </w:pPr>
      <w:r>
        <w:rPr>
          <w:rFonts w:hint="eastAsia" w:ascii="方正黑体_GBK" w:hAnsi="方正黑体_GBK" w:eastAsia="方正黑体_GBK" w:cs="方正黑体_GBK"/>
          <w:b w:val="0"/>
          <w:bCs/>
          <w:color w:val="auto"/>
          <w:sz w:val="31"/>
          <w:szCs w:val="31"/>
          <w:highlight w:val="none"/>
          <w:lang w:eastAsia="zh-CN"/>
        </w:rPr>
        <w:t>四、绩效评价指标分析</w:t>
      </w:r>
    </w:p>
    <w:p w14:paraId="69E09A28">
      <w:pPr>
        <w:pStyle w:val="14"/>
        <w:spacing w:before="0" w:after="0" w:line="560" w:lineRule="exact"/>
        <w:ind w:firstLine="620" w:firstLineChars="200"/>
        <w:jc w:val="both"/>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（一）项目决策情况</w:t>
      </w:r>
    </w:p>
    <w:p w14:paraId="1632B07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项目决策类指标包括项目立项、绩效目标和资金投入三方面的内容，由6个三级指标构成，权重分值为20分，实际得分20分，得分率为100%。</w:t>
      </w:r>
    </w:p>
    <w:p w14:paraId="12431D02">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1.项目立项</w:t>
      </w:r>
    </w:p>
    <w:p w14:paraId="598B33A4">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（1）立项依据充分性</w:t>
      </w:r>
    </w:p>
    <w:p w14:paraId="4F035DB9">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按照《自治区农村人居环境整治三年行动实施方案》,</w:t>
      </w:r>
      <w:r>
        <w:rPr>
          <w:rFonts w:hint="default" w:ascii="方正仿宋_GBK" w:hAnsi="方正仿宋_GBK" w:eastAsia="方正仿宋_GBK" w:cs="方正仿宋_GBK"/>
          <w:b w:val="0"/>
          <w:bCs/>
          <w:color w:val="auto"/>
          <w:sz w:val="31"/>
          <w:szCs w:val="31"/>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F687DB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此项权重分值为3分，得分为3分。</w:t>
      </w:r>
    </w:p>
    <w:p w14:paraId="78D2D672">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（2）立项程序规范性</w:t>
      </w:r>
    </w:p>
    <w:p w14:paraId="0826341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p>
    <w:p w14:paraId="64CCCFAD">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此项权重分值为3分，得分为3分。</w:t>
      </w:r>
    </w:p>
    <w:p w14:paraId="2511C2DA">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2.绩效目标</w:t>
      </w:r>
    </w:p>
    <w:p w14:paraId="1AD6FF44">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（1）绩效目标合理性</w:t>
      </w:r>
    </w:p>
    <w:p w14:paraId="178DD7E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rPr>
        <w:t>年初结合实际工作内容</w:t>
      </w:r>
      <w:r>
        <w:rPr>
          <w:rFonts w:hint="eastAsia" w:ascii="方正仿宋_GBK" w:hAnsi="方正仿宋_GBK" w:eastAsia="方正仿宋_GBK" w:cs="方正仿宋_GBK"/>
          <w:b w:val="0"/>
          <w:bCs/>
          <w:color w:val="auto"/>
          <w:sz w:val="31"/>
          <w:szCs w:val="31"/>
          <w:highlight w:val="none"/>
          <w:lang w:val="en-US" w:eastAsia="zh-CN"/>
        </w:rPr>
        <w:t>设定绩效目标</w:t>
      </w:r>
      <w:r>
        <w:rPr>
          <w:rFonts w:hint="eastAsia" w:ascii="方正仿宋_GBK" w:hAnsi="方正仿宋_GBK" w:eastAsia="方正仿宋_GBK" w:cs="方正仿宋_GBK"/>
          <w:b w:val="0"/>
          <w:bCs/>
          <w:color w:val="auto"/>
          <w:sz w:val="31"/>
          <w:szCs w:val="31"/>
          <w:highlight w:val="none"/>
          <w:lang w:val="en-US"/>
        </w:rPr>
        <w:t>，绩效目标</w:t>
      </w:r>
      <w:r>
        <w:rPr>
          <w:rFonts w:hint="eastAsia" w:ascii="方正仿宋_GBK" w:hAnsi="方正仿宋_GBK" w:eastAsia="方正仿宋_GBK" w:cs="方正仿宋_GBK"/>
          <w:b w:val="0"/>
          <w:bCs/>
          <w:color w:val="auto"/>
          <w:sz w:val="31"/>
          <w:szCs w:val="31"/>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A1F0FB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此项权重分值为3分，得分为3分。</w:t>
      </w:r>
    </w:p>
    <w:p w14:paraId="153F6261">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（2）绩效指标明确性</w:t>
      </w:r>
    </w:p>
    <w:p w14:paraId="1D390722">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626DDDA">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此项权重分值为3分，得分为3分。</w:t>
      </w:r>
    </w:p>
    <w:p w14:paraId="1D326B3E">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3.资金投入</w:t>
      </w:r>
    </w:p>
    <w:p w14:paraId="32941FC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（1）预算编制科学性</w:t>
      </w:r>
    </w:p>
    <w:p w14:paraId="45BF6AB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58E8177">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在预算编制过程中，</w:t>
      </w:r>
      <w:r>
        <w:rPr>
          <w:rFonts w:hint="eastAsia" w:ascii="方正仿宋_GBK" w:hAnsi="方正仿宋_GBK" w:eastAsia="方正仿宋_GBK" w:cs="方正仿宋_GBK"/>
          <w:b w:val="0"/>
          <w:bCs/>
          <w:color w:val="auto"/>
          <w:sz w:val="31"/>
          <w:szCs w:val="31"/>
          <w:highlight w:val="none"/>
          <w:lang w:val="en-US" w:eastAsia="zh-CN"/>
        </w:rPr>
        <w:t>还</w:t>
      </w:r>
      <w:r>
        <w:rPr>
          <w:rFonts w:hint="eastAsia" w:ascii="方正仿宋_GBK" w:hAnsi="方正仿宋_GBK" w:eastAsia="方正仿宋_GBK" w:cs="方正仿宋_GBK"/>
          <w:b w:val="0"/>
          <w:bCs/>
          <w:color w:val="auto"/>
          <w:sz w:val="31"/>
          <w:szCs w:val="31"/>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0EF6F2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0AE43C0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（2）资金分配合理性</w:t>
      </w:r>
    </w:p>
    <w:p w14:paraId="4766805A">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BDD034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5E89446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E2BBA1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0AD9F0AE">
      <w:pPr>
        <w:pStyle w:val="14"/>
        <w:numPr>
          <w:ilvl w:val="0"/>
          <w:numId w:val="2"/>
        </w:numPr>
        <w:spacing w:before="0" w:after="0" w:line="560" w:lineRule="exact"/>
        <w:ind w:firstLine="620" w:firstLineChars="200"/>
        <w:jc w:val="both"/>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项目过程情况</w:t>
      </w:r>
    </w:p>
    <w:p w14:paraId="042A14D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项目过程类指标包括资金管理和组织实施两方面的内容，由5个三级指标构成，权重分值为20分，实际得分20分，得分率为100%。</w:t>
      </w:r>
    </w:p>
    <w:p w14:paraId="4F4A1A8B">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1.资金管理</w:t>
      </w:r>
    </w:p>
    <w:p w14:paraId="7FA47293">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（1）资金到位率</w:t>
      </w:r>
    </w:p>
    <w:p w14:paraId="65085829">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本项目总投资158.7万元，财政资金及时足额到位，到位率100%，预算资金按计划进度执行。</w:t>
      </w:r>
    </w:p>
    <w:p w14:paraId="17531A95">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33269FA6">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（2）预算执行率</w:t>
      </w:r>
    </w:p>
    <w:p w14:paraId="16C8F57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预算编制较为详细，项目资金支出总体能够按照预算执行，预算资金支出158.7万元，预算执行率为100%。</w:t>
      </w:r>
    </w:p>
    <w:p w14:paraId="26DB0E14">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6775F6E3">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（3）资金使用合规性</w:t>
      </w:r>
    </w:p>
    <w:p w14:paraId="41949BC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485C17A9">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4EA431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64AAFC15">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01B31020">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2.组织实施</w:t>
      </w:r>
    </w:p>
    <w:p w14:paraId="3239D368">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（1）管理制度健全性</w:t>
      </w:r>
    </w:p>
    <w:p w14:paraId="11E29332">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5C08E4B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在制度设计上，我们注重了制度的科学性与可操作性，确保制度能够切实指导项目的执行与管理。</w:t>
      </w:r>
    </w:p>
    <w:p w14:paraId="4D6FDD01">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0FE25F49">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E0B6962">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17FD4B7E">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（2）制度执行有效性</w:t>
      </w:r>
    </w:p>
    <w:p w14:paraId="67AB2F44">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本项目在执行过程中，管理制度得到了全面、有效的落实，为确保项目的顺利实施与目标实现提供了坚实的保障。项目</w:t>
      </w:r>
      <w:r>
        <w:rPr>
          <w:rFonts w:hint="eastAsia" w:ascii="方正仿宋_GBK" w:hAnsi="方正仿宋_GBK" w:eastAsia="方正仿宋_GBK" w:cs="方正仿宋_GBK"/>
          <w:b w:val="0"/>
          <w:bCs/>
          <w:color w:val="auto"/>
          <w:sz w:val="31"/>
          <w:szCs w:val="31"/>
          <w:highlight w:val="none"/>
          <w:lang w:val="en-US" w:eastAsia="zh-CN"/>
        </w:rPr>
        <w:t>单位</w:t>
      </w:r>
      <w:r>
        <w:rPr>
          <w:rFonts w:hint="eastAsia" w:ascii="方正仿宋_GBK" w:hAnsi="方正仿宋_GBK" w:eastAsia="方正仿宋_GBK" w:cs="方正仿宋_GBK"/>
          <w:b w:val="0"/>
          <w:bCs/>
          <w:color w:val="auto"/>
          <w:sz w:val="31"/>
          <w:szCs w:val="31"/>
          <w:highlight w:val="none"/>
          <w:lang w:eastAsia="zh-CN"/>
        </w:rPr>
        <w:t>重视制度执行的重要性，通过明确责任分工、制定详细执行计划、加强监督考核等措施，确保了各项管理制度能够得到有效执行。</w:t>
      </w:r>
    </w:p>
    <w:p w14:paraId="13AB38D6">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3D1B7B7">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lang w:eastAsia="zh-CN"/>
        </w:rPr>
        <w:t>综上所述，本项目的管理制度在执行过程中表现出了高度的有效性，既确保了项目的顺利进行，又实现了项目目标的有效达成。</w:t>
      </w:r>
    </w:p>
    <w:p w14:paraId="5CBB1E28">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此项权重分值为4分，得分为4分。</w:t>
      </w:r>
    </w:p>
    <w:p w14:paraId="108E958C">
      <w:pPr>
        <w:pStyle w:val="15"/>
        <w:numPr>
          <w:ilvl w:val="0"/>
          <w:numId w:val="2"/>
        </w:numPr>
        <w:spacing w:line="560" w:lineRule="exact"/>
        <w:ind w:firstLine="643"/>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项目产出情况</w:t>
      </w:r>
    </w:p>
    <w:p w14:paraId="1A7D1C6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项目产出类指标包括产出数量、产出质量、产出时效、产出成本四方面的内容，由4个三级指标构成，权重分为40分，实际得分23.33分，得分率为58.33%。具体产出指标完成情况如下：</w:t>
      </w:r>
    </w:p>
    <w:p w14:paraId="15C44071">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fldChar w:fldCharType="begin"/>
      </w:r>
      <w:r>
        <w:rPr>
          <w:rFonts w:hint="eastAsia" w:ascii="方正仿宋_GBK" w:hAnsi="方正仿宋_GBK" w:eastAsia="方正仿宋_GBK" w:cs="方正仿宋_GBK"/>
          <w:b w:val="0"/>
          <w:bCs/>
          <w:color w:val="auto"/>
          <w:sz w:val="31"/>
          <w:szCs w:val="31"/>
          <w:highlight w:val="none"/>
        </w:rPr>
        <w:instrText xml:space="preserve"> = 1 \* GB3 </w:instrText>
      </w:r>
      <w:r>
        <w:rPr>
          <w:rFonts w:hint="eastAsia" w:ascii="方正仿宋_GBK" w:hAnsi="方正仿宋_GBK" w:eastAsia="方正仿宋_GBK" w:cs="方正仿宋_GBK"/>
          <w:b w:val="0"/>
          <w:bCs/>
          <w:color w:val="auto"/>
          <w:sz w:val="31"/>
          <w:szCs w:val="31"/>
          <w:highlight w:val="none"/>
        </w:rPr>
        <w:fldChar w:fldCharType="separate"/>
      </w:r>
      <w:r>
        <w:rPr>
          <w:rFonts w:hint="eastAsia" w:ascii="方正仿宋_GBK" w:hAnsi="方正仿宋_GBK" w:eastAsia="方正仿宋_GBK" w:cs="方正仿宋_GBK"/>
          <w:b w:val="0"/>
          <w:bCs/>
          <w:color w:val="auto"/>
          <w:sz w:val="31"/>
          <w:szCs w:val="31"/>
          <w:highlight w:val="none"/>
        </w:rPr>
        <w:t>①</w:t>
      </w:r>
      <w:r>
        <w:rPr>
          <w:rFonts w:hint="eastAsia" w:ascii="方正仿宋_GBK" w:hAnsi="方正仿宋_GBK" w:eastAsia="方正仿宋_GBK" w:cs="方正仿宋_GBK"/>
          <w:b w:val="0"/>
          <w:bCs/>
          <w:color w:val="auto"/>
          <w:sz w:val="31"/>
          <w:szCs w:val="31"/>
          <w:highlight w:val="none"/>
        </w:rPr>
        <w:fldChar w:fldCharType="end"/>
      </w:r>
      <w:r>
        <w:rPr>
          <w:rFonts w:hint="eastAsia" w:ascii="方正仿宋_GBK" w:hAnsi="方正仿宋_GBK" w:eastAsia="方正仿宋_GBK" w:cs="方正仿宋_GBK"/>
          <w:b w:val="0"/>
          <w:bCs/>
          <w:color w:val="auto"/>
          <w:sz w:val="31"/>
          <w:szCs w:val="31"/>
          <w:highlight w:val="none"/>
        </w:rPr>
        <w:t>数量指标：</w:t>
      </w:r>
    </w:p>
    <w:p w14:paraId="5D6A10E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指标1：新建围栏长度，指标值：&gt;=5543米，实际完成值：5543米，指标完成率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1778CEF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：新建供水井数量，指标值：&gt;=4个，实际完成值：</w:t>
      </w:r>
      <w:r>
        <w:rPr>
          <w:rFonts w:hint="eastAsia" w:ascii="方正仿宋_GBK" w:hAnsi="方正仿宋_GBK" w:eastAsia="方正仿宋_GBK" w:cs="方正仿宋_GBK"/>
          <w:b w:val="0"/>
          <w:bCs/>
          <w:color w:val="auto"/>
          <w:sz w:val="31"/>
          <w:szCs w:val="31"/>
          <w:highlight w:val="none"/>
          <w:lang w:val="en-US" w:eastAsia="zh-CN"/>
        </w:rPr>
        <w:t>4个</w:t>
      </w:r>
      <w:r>
        <w:rPr>
          <w:rFonts w:hint="eastAsia" w:ascii="方正仿宋_GBK" w:hAnsi="方正仿宋_GBK" w:eastAsia="方正仿宋_GBK" w:cs="方正仿宋_GBK"/>
          <w:b w:val="0"/>
          <w:bCs/>
          <w:color w:val="auto"/>
          <w:sz w:val="31"/>
          <w:szCs w:val="31"/>
          <w:highlight w:val="none"/>
        </w:rPr>
        <w:t>，指标完成率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328B0A0B">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3</w:t>
      </w:r>
      <w:r>
        <w:rPr>
          <w:rFonts w:hint="eastAsia" w:ascii="方正仿宋_GBK" w:hAnsi="方正仿宋_GBK" w:eastAsia="方正仿宋_GBK" w:cs="方正仿宋_GBK"/>
          <w:b w:val="0"/>
          <w:bCs/>
          <w:color w:val="auto"/>
          <w:sz w:val="31"/>
          <w:szCs w:val="31"/>
          <w:highlight w:val="none"/>
        </w:rPr>
        <w:t>：检修供水井数量，指标值：&gt;=1座，实际完成值：1座，指标完成率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3064752D">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4</w:t>
      </w:r>
      <w:r>
        <w:rPr>
          <w:rFonts w:hint="eastAsia" w:ascii="方正仿宋_GBK" w:hAnsi="方正仿宋_GBK" w:eastAsia="方正仿宋_GBK" w:cs="方正仿宋_GBK"/>
          <w:b w:val="0"/>
          <w:bCs/>
          <w:color w:val="auto"/>
          <w:sz w:val="31"/>
          <w:szCs w:val="31"/>
          <w:highlight w:val="none"/>
        </w:rPr>
        <w:t>：新建检修供水管网长度，指标值：&gt;=900米，实际完成值：900米，指标完成率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427427BB">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5</w:t>
      </w:r>
      <w:r>
        <w:rPr>
          <w:rFonts w:hint="eastAsia" w:ascii="方正仿宋_GBK" w:hAnsi="方正仿宋_GBK" w:eastAsia="方正仿宋_GBK" w:cs="方正仿宋_GBK"/>
          <w:b w:val="0"/>
          <w:bCs/>
          <w:color w:val="auto"/>
          <w:sz w:val="31"/>
          <w:szCs w:val="31"/>
          <w:highlight w:val="none"/>
        </w:rPr>
        <w:t>：公共区域地面硬化面积，指标值：&gt;=5593平方米，实际完成值：5593平方米，指标完成率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36E531F2">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6</w:t>
      </w:r>
      <w:r>
        <w:rPr>
          <w:rFonts w:hint="eastAsia" w:ascii="方正仿宋_GBK" w:hAnsi="方正仿宋_GBK" w:eastAsia="方正仿宋_GBK" w:cs="方正仿宋_GBK"/>
          <w:b w:val="0"/>
          <w:bCs/>
          <w:color w:val="auto"/>
          <w:sz w:val="31"/>
          <w:szCs w:val="31"/>
          <w:highlight w:val="none"/>
        </w:rPr>
        <w:t>：支持村内公益设施建设数量，指标值：&gt;=5个，实际完成值：5个，指标完成率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078C1E84">
      <w:pPr>
        <w:shd w:val="clear" w:color="auto" w:fill="auto"/>
        <w:spacing w:line="600" w:lineRule="exact"/>
        <w:ind w:firstLine="620" w:firstLineChars="200"/>
        <w:outlineLvl w:val="0"/>
        <w:rPr>
          <w:rFonts w:hint="eastAsia"/>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此项权重分值为10分，得分为10分。</w:t>
      </w:r>
    </w:p>
    <w:p w14:paraId="1BF4D601">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fldChar w:fldCharType="begin"/>
      </w:r>
      <w:r>
        <w:rPr>
          <w:rFonts w:hint="eastAsia" w:ascii="方正仿宋_GBK" w:hAnsi="方正仿宋_GBK" w:eastAsia="方正仿宋_GBK" w:cs="方正仿宋_GBK"/>
          <w:b w:val="0"/>
          <w:bCs/>
          <w:color w:val="auto"/>
          <w:sz w:val="31"/>
          <w:szCs w:val="31"/>
          <w:highlight w:val="none"/>
        </w:rPr>
        <w:instrText xml:space="preserve"> = 2 \* GB3 </w:instrText>
      </w:r>
      <w:r>
        <w:rPr>
          <w:rFonts w:hint="eastAsia" w:ascii="方正仿宋_GBK" w:hAnsi="方正仿宋_GBK" w:eastAsia="方正仿宋_GBK" w:cs="方正仿宋_GBK"/>
          <w:b w:val="0"/>
          <w:bCs/>
          <w:color w:val="auto"/>
          <w:sz w:val="31"/>
          <w:szCs w:val="31"/>
          <w:highlight w:val="none"/>
        </w:rPr>
        <w:fldChar w:fldCharType="separate"/>
      </w:r>
      <w:r>
        <w:rPr>
          <w:rFonts w:hint="eastAsia" w:ascii="方正仿宋_GBK" w:hAnsi="方正仿宋_GBK" w:eastAsia="方正仿宋_GBK" w:cs="方正仿宋_GBK"/>
          <w:b w:val="0"/>
          <w:bCs/>
          <w:color w:val="auto"/>
          <w:sz w:val="31"/>
          <w:szCs w:val="31"/>
          <w:highlight w:val="none"/>
        </w:rPr>
        <w:t>②</w:t>
      </w:r>
      <w:r>
        <w:rPr>
          <w:rFonts w:hint="eastAsia" w:ascii="方正仿宋_GBK" w:hAnsi="方正仿宋_GBK" w:eastAsia="方正仿宋_GBK" w:cs="方正仿宋_GBK"/>
          <w:b w:val="0"/>
          <w:bCs/>
          <w:color w:val="auto"/>
          <w:sz w:val="31"/>
          <w:szCs w:val="31"/>
          <w:highlight w:val="none"/>
        </w:rPr>
        <w:fldChar w:fldCharType="end"/>
      </w:r>
      <w:r>
        <w:rPr>
          <w:rFonts w:hint="eastAsia" w:ascii="方正仿宋_GBK" w:hAnsi="方正仿宋_GBK" w:eastAsia="方正仿宋_GBK" w:cs="方正仿宋_GBK"/>
          <w:b w:val="0"/>
          <w:bCs/>
          <w:color w:val="auto"/>
          <w:sz w:val="31"/>
          <w:szCs w:val="31"/>
          <w:highlight w:val="none"/>
        </w:rPr>
        <w:t>质量指标：</w:t>
      </w:r>
    </w:p>
    <w:p w14:paraId="2506C6D7">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：工程验收合格率，指标值=100%，实际完成值：0%，指标完成率0%</w:t>
      </w:r>
      <w:r>
        <w:rPr>
          <w:rFonts w:hint="eastAsia" w:ascii="方正仿宋_GBK" w:hAnsi="方正仿宋_GBK" w:eastAsia="方正仿宋_GBK" w:cs="方正仿宋_GBK"/>
          <w:b w:val="0"/>
          <w:bCs/>
          <w:color w:val="auto"/>
          <w:sz w:val="31"/>
          <w:szCs w:val="31"/>
          <w:highlight w:val="none"/>
          <w:lang w:eastAsia="zh-CN"/>
        </w:rPr>
        <w:t>。偏差原因：项目未竣工验收；改进措施：统筹安排项目施工进度，确保项目尽快竣工验收。</w:t>
      </w:r>
    </w:p>
    <w:p w14:paraId="582AD6D2">
      <w:pPr>
        <w:shd w:val="clear" w:color="auto" w:fill="auto"/>
        <w:spacing w:line="600" w:lineRule="exact"/>
        <w:ind w:firstLine="620" w:firstLineChars="200"/>
        <w:outlineLvl w:val="0"/>
        <w:rPr>
          <w:rFonts w:hint="eastAsia"/>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此项权重分值为10分，得分为0分。</w:t>
      </w:r>
    </w:p>
    <w:p w14:paraId="3D6E8D3A">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fldChar w:fldCharType="begin"/>
      </w:r>
      <w:r>
        <w:rPr>
          <w:rFonts w:hint="eastAsia" w:ascii="方正仿宋_GBK" w:hAnsi="方正仿宋_GBK" w:eastAsia="方正仿宋_GBK" w:cs="方正仿宋_GBK"/>
          <w:b w:val="0"/>
          <w:bCs/>
          <w:color w:val="auto"/>
          <w:sz w:val="31"/>
          <w:szCs w:val="31"/>
          <w:highlight w:val="none"/>
        </w:rPr>
        <w:instrText xml:space="preserve"> = 3 \* GB3 </w:instrText>
      </w:r>
      <w:r>
        <w:rPr>
          <w:rFonts w:hint="eastAsia" w:ascii="方正仿宋_GBK" w:hAnsi="方正仿宋_GBK" w:eastAsia="方正仿宋_GBK" w:cs="方正仿宋_GBK"/>
          <w:b w:val="0"/>
          <w:bCs/>
          <w:color w:val="auto"/>
          <w:sz w:val="31"/>
          <w:szCs w:val="31"/>
          <w:highlight w:val="none"/>
        </w:rPr>
        <w:fldChar w:fldCharType="separate"/>
      </w:r>
      <w:r>
        <w:rPr>
          <w:rFonts w:hint="eastAsia" w:ascii="方正仿宋_GBK" w:hAnsi="方正仿宋_GBK" w:eastAsia="方正仿宋_GBK" w:cs="方正仿宋_GBK"/>
          <w:b w:val="0"/>
          <w:bCs/>
          <w:color w:val="auto"/>
          <w:sz w:val="31"/>
          <w:szCs w:val="31"/>
          <w:highlight w:val="none"/>
        </w:rPr>
        <w:t>③</w:t>
      </w:r>
      <w:r>
        <w:rPr>
          <w:rFonts w:hint="eastAsia" w:ascii="方正仿宋_GBK" w:hAnsi="方正仿宋_GBK" w:eastAsia="方正仿宋_GBK" w:cs="方正仿宋_GBK"/>
          <w:b w:val="0"/>
          <w:bCs/>
          <w:color w:val="auto"/>
          <w:sz w:val="31"/>
          <w:szCs w:val="31"/>
          <w:highlight w:val="none"/>
        </w:rPr>
        <w:fldChar w:fldCharType="end"/>
      </w:r>
      <w:r>
        <w:rPr>
          <w:rFonts w:hint="eastAsia" w:ascii="方正仿宋_GBK" w:hAnsi="方正仿宋_GBK" w:eastAsia="方正仿宋_GBK" w:cs="方正仿宋_GBK"/>
          <w:b w:val="0"/>
          <w:bCs/>
          <w:color w:val="auto"/>
          <w:sz w:val="31"/>
          <w:szCs w:val="31"/>
          <w:highlight w:val="none"/>
        </w:rPr>
        <w:t>时效指标：</w:t>
      </w:r>
    </w:p>
    <w:p w14:paraId="18F4BEAD">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：项目开工时间，指标值：2024年3月30日，实际完成值：2024年4月2</w:t>
      </w:r>
      <w:r>
        <w:rPr>
          <w:rFonts w:hint="eastAsia" w:ascii="方正仿宋_GBK" w:hAnsi="方正仿宋_GBK" w:eastAsia="方正仿宋_GBK" w:cs="方正仿宋_GBK"/>
          <w:b w:val="0"/>
          <w:bCs/>
          <w:color w:val="auto"/>
          <w:sz w:val="31"/>
          <w:szCs w:val="31"/>
          <w:highlight w:val="none"/>
          <w:lang w:val="en-US" w:eastAsia="zh-CN"/>
        </w:rPr>
        <w:t>5</w:t>
      </w:r>
      <w:r>
        <w:rPr>
          <w:rFonts w:hint="eastAsia" w:ascii="方正仿宋_GBK" w:hAnsi="方正仿宋_GBK" w:eastAsia="方正仿宋_GBK" w:cs="方正仿宋_GBK"/>
          <w:b w:val="0"/>
          <w:bCs/>
          <w:color w:val="auto"/>
          <w:sz w:val="31"/>
          <w:szCs w:val="31"/>
          <w:highlight w:val="none"/>
        </w:rPr>
        <w:t>日，指标完成率0%</w:t>
      </w:r>
      <w:r>
        <w:rPr>
          <w:rFonts w:hint="eastAsia" w:ascii="方正仿宋_GBK" w:hAnsi="方正仿宋_GBK" w:eastAsia="方正仿宋_GBK" w:cs="方正仿宋_GBK"/>
          <w:b w:val="0"/>
          <w:bCs/>
          <w:color w:val="auto"/>
          <w:sz w:val="31"/>
          <w:szCs w:val="31"/>
          <w:highlight w:val="none"/>
          <w:lang w:eastAsia="zh-CN"/>
        </w:rPr>
        <w:t>。偏差原因：前期手续办理滞后，项目未能按计划开工；改进措施：加快前期办理进度，确保项目按计划开工、按时完工。</w:t>
      </w:r>
    </w:p>
    <w:p w14:paraId="7A0B590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：项目完成时间，指标值：2024年10月30日，实际完成值：未完工，指标完成率0%</w:t>
      </w:r>
      <w:r>
        <w:rPr>
          <w:rFonts w:hint="eastAsia" w:ascii="方正仿宋_GBK" w:hAnsi="方正仿宋_GBK" w:eastAsia="方正仿宋_GBK" w:cs="方正仿宋_GBK"/>
          <w:b w:val="0"/>
          <w:bCs/>
          <w:color w:val="auto"/>
          <w:sz w:val="31"/>
          <w:szCs w:val="31"/>
          <w:highlight w:val="none"/>
          <w:lang w:eastAsia="zh-CN"/>
        </w:rPr>
        <w:t>。偏差原因：实施过程不够连贯，导致不能按计划完工；改进措施：统筹安排项目施工进度，确保项目按时完工</w:t>
      </w:r>
    </w:p>
    <w:p w14:paraId="22E87F73">
      <w:pPr>
        <w:pStyle w:val="2"/>
        <w:ind w:left="0" w:leftChars="0" w:firstLine="620" w:firstLineChars="20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3</w:t>
      </w:r>
      <w:r>
        <w:rPr>
          <w:rFonts w:hint="eastAsia" w:ascii="方正仿宋_GBK" w:hAnsi="方正仿宋_GBK" w:eastAsia="方正仿宋_GBK" w:cs="方正仿宋_GBK"/>
          <w:b w:val="0"/>
          <w:bCs/>
          <w:color w:val="auto"/>
          <w:sz w:val="31"/>
          <w:szCs w:val="31"/>
          <w:highlight w:val="none"/>
        </w:rPr>
        <w:t>：资金下达及时率，指标值：=100%，实际完成值：100%，指标完成率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5977EC11">
      <w:pPr>
        <w:shd w:val="clear" w:color="auto" w:fill="auto"/>
        <w:spacing w:line="600" w:lineRule="exact"/>
        <w:ind w:firstLine="620" w:firstLineChars="200"/>
        <w:outlineLvl w:val="0"/>
        <w:rPr>
          <w:rFonts w:hint="eastAsia"/>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此项权重分值为10分，得分为3.33分。</w:t>
      </w:r>
    </w:p>
    <w:p w14:paraId="6D330D63">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fldChar w:fldCharType="begin"/>
      </w:r>
      <w:r>
        <w:rPr>
          <w:rFonts w:hint="eastAsia" w:ascii="方正仿宋_GBK" w:hAnsi="方正仿宋_GBK" w:eastAsia="方正仿宋_GBK" w:cs="方正仿宋_GBK"/>
          <w:b w:val="0"/>
          <w:bCs/>
          <w:color w:val="auto"/>
          <w:sz w:val="31"/>
          <w:szCs w:val="31"/>
          <w:highlight w:val="none"/>
        </w:rPr>
        <w:instrText xml:space="preserve"> = 4 \* GB3 </w:instrText>
      </w:r>
      <w:r>
        <w:rPr>
          <w:rFonts w:hint="eastAsia" w:ascii="方正仿宋_GBK" w:hAnsi="方正仿宋_GBK" w:eastAsia="方正仿宋_GBK" w:cs="方正仿宋_GBK"/>
          <w:b w:val="0"/>
          <w:bCs/>
          <w:color w:val="auto"/>
          <w:sz w:val="31"/>
          <w:szCs w:val="31"/>
          <w:highlight w:val="none"/>
        </w:rPr>
        <w:fldChar w:fldCharType="separate"/>
      </w:r>
      <w:r>
        <w:rPr>
          <w:rFonts w:hint="eastAsia" w:ascii="方正仿宋_GBK" w:hAnsi="方正仿宋_GBK" w:eastAsia="方正仿宋_GBK" w:cs="方正仿宋_GBK"/>
          <w:b w:val="0"/>
          <w:bCs/>
          <w:color w:val="auto"/>
          <w:sz w:val="31"/>
          <w:szCs w:val="31"/>
          <w:highlight w:val="none"/>
        </w:rPr>
        <w:t>④</w:t>
      </w:r>
      <w:r>
        <w:rPr>
          <w:rFonts w:hint="eastAsia" w:ascii="方正仿宋_GBK" w:hAnsi="方正仿宋_GBK" w:eastAsia="方正仿宋_GBK" w:cs="方正仿宋_GBK"/>
          <w:b w:val="0"/>
          <w:bCs/>
          <w:color w:val="auto"/>
          <w:sz w:val="31"/>
          <w:szCs w:val="31"/>
          <w:highlight w:val="none"/>
        </w:rPr>
        <w:fldChar w:fldCharType="end"/>
      </w:r>
      <w:r>
        <w:rPr>
          <w:rFonts w:hint="eastAsia" w:ascii="方正仿宋_GBK" w:hAnsi="方正仿宋_GBK" w:eastAsia="方正仿宋_GBK" w:cs="方正仿宋_GBK"/>
          <w:b w:val="0"/>
          <w:bCs/>
          <w:color w:val="auto"/>
          <w:sz w:val="31"/>
          <w:szCs w:val="31"/>
          <w:highlight w:val="none"/>
        </w:rPr>
        <w:t>成本指标：</w:t>
      </w:r>
    </w:p>
    <w:p w14:paraId="3856C64E">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：新建围栏成本，指标值：&lt;=120元/米，实际完成值：120元/米，指标完成率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2E1ADAC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：新建供水井成本，指标值：&lt;=1.10万元/座，实际完成值：1.10万元/座，指标完成率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6C554CC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3</w:t>
      </w:r>
      <w:r>
        <w:rPr>
          <w:rFonts w:hint="eastAsia" w:ascii="方正仿宋_GBK" w:hAnsi="方正仿宋_GBK" w:eastAsia="方正仿宋_GBK" w:cs="方正仿宋_GBK"/>
          <w:b w:val="0"/>
          <w:bCs/>
          <w:color w:val="auto"/>
          <w:sz w:val="31"/>
          <w:szCs w:val="31"/>
          <w:highlight w:val="none"/>
        </w:rPr>
        <w:t>：检修供水井成本，指标值：&lt;=0.5万元/座，实际完成值：0.5万元/座，指标完成率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62AF4348">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4</w:t>
      </w:r>
      <w:r>
        <w:rPr>
          <w:rFonts w:hint="eastAsia" w:ascii="方正仿宋_GBK" w:hAnsi="方正仿宋_GBK" w:eastAsia="方正仿宋_GBK" w:cs="方正仿宋_GBK"/>
          <w:b w:val="0"/>
          <w:bCs/>
          <w:color w:val="auto"/>
          <w:sz w:val="31"/>
          <w:szCs w:val="31"/>
          <w:highlight w:val="none"/>
        </w:rPr>
        <w:t>：新建检修供水管网成本，指标值：&lt;=99.78元/米，实际完成值：99.78元/米，指标完成率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1FA5F915">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5</w:t>
      </w:r>
      <w:r>
        <w:rPr>
          <w:rFonts w:hint="eastAsia" w:ascii="方正仿宋_GBK" w:hAnsi="方正仿宋_GBK" w:eastAsia="方正仿宋_GBK" w:cs="方正仿宋_GBK"/>
          <w:b w:val="0"/>
          <w:bCs/>
          <w:color w:val="auto"/>
          <w:sz w:val="31"/>
          <w:szCs w:val="31"/>
          <w:highlight w:val="none"/>
        </w:rPr>
        <w:t>：公共区域地面硬化成本，指标值：&lt;=140元/平方米，实际完成值：140元/平方米，指标完成率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5E91C23E">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此项权重分值为10分，得分为10分。</w:t>
      </w:r>
    </w:p>
    <w:p w14:paraId="3DE19553">
      <w:pPr>
        <w:pStyle w:val="15"/>
        <w:numPr>
          <w:ilvl w:val="0"/>
          <w:numId w:val="2"/>
        </w:numPr>
        <w:spacing w:line="560" w:lineRule="exact"/>
        <w:ind w:firstLine="643"/>
        <w:rPr>
          <w:rFonts w:hint="eastAsia" w:ascii="方正楷体_GBK" w:hAnsi="方正楷体_GBK" w:eastAsia="方正楷体_GBK" w:cs="方正楷体_GBK"/>
          <w:b w:val="0"/>
          <w:bCs/>
          <w:color w:val="auto"/>
          <w:kern w:val="2"/>
          <w:sz w:val="31"/>
          <w:szCs w:val="31"/>
          <w:highlight w:val="none"/>
          <w:lang w:val="en-US" w:eastAsia="zh-CN" w:bidi="ar-SA"/>
        </w:rPr>
      </w:pPr>
      <w:r>
        <w:rPr>
          <w:rFonts w:hint="eastAsia" w:ascii="方正楷体_GBK" w:hAnsi="方正楷体_GBK" w:eastAsia="方正楷体_GBK" w:cs="方正楷体_GBK"/>
          <w:b w:val="0"/>
          <w:bCs/>
          <w:color w:val="auto"/>
          <w:kern w:val="2"/>
          <w:sz w:val="31"/>
          <w:szCs w:val="31"/>
          <w:highlight w:val="none"/>
          <w:lang w:val="en-US" w:eastAsia="zh-CN" w:bidi="ar-SA"/>
        </w:rPr>
        <w:t>项目效益情况</w:t>
      </w:r>
    </w:p>
    <w:p w14:paraId="0797E70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项目效益类指标包括项目实施效益和满意度两方面的内容，由2个三级指标构成，权重分为20分，实际得分20分，得分率为100%。具体效益指标及满意度指标完成情况如下：</w:t>
      </w:r>
    </w:p>
    <w:p w14:paraId="5429DD67">
      <w:pPr>
        <w:numPr>
          <w:ilvl w:val="0"/>
          <w:numId w:val="0"/>
        </w:num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1、实施效益</w:t>
      </w:r>
    </w:p>
    <w:p w14:paraId="345912C8">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①</w:t>
      </w:r>
      <w:r>
        <w:rPr>
          <w:rFonts w:hint="eastAsia" w:ascii="方正仿宋_GBK" w:hAnsi="方正仿宋_GBK" w:eastAsia="方正仿宋_GBK" w:cs="方正仿宋_GBK"/>
          <w:b w:val="0"/>
          <w:bCs/>
          <w:color w:val="auto"/>
          <w:sz w:val="31"/>
          <w:szCs w:val="31"/>
          <w:highlight w:val="none"/>
        </w:rPr>
        <w:t>社会效益指标：</w:t>
      </w:r>
    </w:p>
    <w:p w14:paraId="1C51C7E6">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：受益群众户数，指标值：&gt;=500户，实际完成值：500户，指标完成率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4CB7479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：农村公益事业滚动项目库，指标值：基本建立，实际完成值：基本建立，指标完成率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6186EF31">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②</w:t>
      </w:r>
      <w:r>
        <w:rPr>
          <w:rFonts w:hint="eastAsia" w:ascii="方正仿宋_GBK" w:hAnsi="方正仿宋_GBK" w:eastAsia="方正仿宋_GBK" w:cs="方正仿宋_GBK"/>
          <w:b w:val="0"/>
          <w:bCs/>
          <w:color w:val="auto"/>
          <w:sz w:val="31"/>
          <w:szCs w:val="31"/>
          <w:highlight w:val="none"/>
        </w:rPr>
        <w:t>社会效益指标：</w:t>
      </w:r>
    </w:p>
    <w:p w14:paraId="56F80D90">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：生态环境效益，指标值：有效改善，实际完成值：有效改善，指标完成率</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p>
    <w:p w14:paraId="3DE04609">
      <w:pPr>
        <w:shd w:val="clear" w:color="auto" w:fill="auto"/>
        <w:spacing w:line="600" w:lineRule="exact"/>
        <w:ind w:firstLine="620" w:firstLineChars="200"/>
        <w:outlineLvl w:val="0"/>
        <w:rPr>
          <w:rFonts w:hint="eastAsia"/>
          <w:highlight w:val="none"/>
          <w:lang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此项权重分值为10分，得分为10分。</w:t>
      </w:r>
    </w:p>
    <w:p w14:paraId="38EC555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2.满意度</w:t>
      </w:r>
    </w:p>
    <w:p w14:paraId="745ECBB9">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1</w:t>
      </w:r>
      <w:r>
        <w:rPr>
          <w:rFonts w:hint="eastAsia" w:ascii="方正仿宋_GBK" w:hAnsi="方正仿宋_GBK" w:eastAsia="方正仿宋_GBK" w:cs="方正仿宋_GBK"/>
          <w:b w:val="0"/>
          <w:bCs/>
          <w:color w:val="auto"/>
          <w:sz w:val="31"/>
          <w:szCs w:val="31"/>
          <w:highlight w:val="none"/>
        </w:rPr>
        <w:t>：项目区农民满意度，指标值：&gt;=90%，实际完成值：</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%，指标完成率</w:t>
      </w:r>
      <w:r>
        <w:rPr>
          <w:rFonts w:hint="eastAsia" w:ascii="方正仿宋_GBK" w:hAnsi="方正仿宋_GBK" w:eastAsia="方正仿宋_GBK" w:cs="方正仿宋_GBK"/>
          <w:b w:val="0"/>
          <w:bCs/>
          <w:color w:val="auto"/>
          <w:sz w:val="31"/>
          <w:szCs w:val="31"/>
          <w:highlight w:val="none"/>
          <w:lang w:val="en-US" w:eastAsia="zh-CN"/>
        </w:rPr>
        <w:t>111.11</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，偏差原因：项目区基层干部满意度为100%；改进措施：从严从高设置绩效指标。</w:t>
      </w:r>
    </w:p>
    <w:p w14:paraId="7D150C85">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rPr>
        <w:t>指标</w:t>
      </w:r>
      <w:r>
        <w:rPr>
          <w:rFonts w:hint="eastAsia" w:ascii="方正仿宋_GBK" w:hAnsi="方正仿宋_GBK" w:eastAsia="方正仿宋_GBK" w:cs="方正仿宋_GBK"/>
          <w:b w:val="0"/>
          <w:bCs/>
          <w:color w:val="auto"/>
          <w:sz w:val="31"/>
          <w:szCs w:val="31"/>
          <w:highlight w:val="none"/>
          <w:lang w:val="en-US" w:eastAsia="zh-CN"/>
        </w:rPr>
        <w:t>2</w:t>
      </w:r>
      <w:r>
        <w:rPr>
          <w:rFonts w:hint="eastAsia" w:ascii="方正仿宋_GBK" w:hAnsi="方正仿宋_GBK" w:eastAsia="方正仿宋_GBK" w:cs="方正仿宋_GBK"/>
          <w:b w:val="0"/>
          <w:bCs/>
          <w:color w:val="auto"/>
          <w:sz w:val="31"/>
          <w:szCs w:val="31"/>
          <w:highlight w:val="none"/>
        </w:rPr>
        <w:t>：项目区基层干部满意度，指标值：&gt;=90%，实际完成值：</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%，指标完成率</w:t>
      </w:r>
      <w:r>
        <w:rPr>
          <w:rFonts w:hint="eastAsia" w:ascii="方正仿宋_GBK" w:hAnsi="方正仿宋_GBK" w:eastAsia="方正仿宋_GBK" w:cs="方正仿宋_GBK"/>
          <w:b w:val="0"/>
          <w:bCs/>
          <w:color w:val="auto"/>
          <w:sz w:val="31"/>
          <w:szCs w:val="31"/>
          <w:highlight w:val="none"/>
          <w:lang w:val="en-US" w:eastAsia="zh-CN"/>
        </w:rPr>
        <w:t>111.11</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。偏差原因：项目区农民满意度为100%；改进措施：从严从高设置绩效指标。</w:t>
      </w:r>
    </w:p>
    <w:p w14:paraId="1C826A3D">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此项权重分值为10分，得分为10分。</w:t>
      </w:r>
    </w:p>
    <w:p w14:paraId="6BF9B6D8">
      <w:pPr>
        <w:spacing w:line="560" w:lineRule="exact"/>
        <w:ind w:firstLine="620" w:firstLineChars="200"/>
        <w:rPr>
          <w:rFonts w:hint="eastAsia" w:ascii="方正楷体_GBK" w:hAnsi="方正楷体_GBK" w:eastAsia="方正楷体_GBK" w:cs="方正楷体_GBK"/>
          <w:b w:val="0"/>
          <w:bCs/>
          <w:color w:val="auto"/>
          <w:sz w:val="31"/>
          <w:szCs w:val="31"/>
          <w:highlight w:val="none"/>
          <w:lang w:val="en-US"/>
        </w:rPr>
      </w:pPr>
      <w:r>
        <w:rPr>
          <w:rFonts w:hint="eastAsia" w:ascii="方正楷体_GBK" w:hAnsi="方正楷体_GBK" w:eastAsia="方正楷体_GBK" w:cs="方正楷体_GBK"/>
          <w:b w:val="0"/>
          <w:bCs/>
          <w:color w:val="auto"/>
          <w:sz w:val="31"/>
          <w:szCs w:val="31"/>
          <w:highlight w:val="none"/>
          <w:lang w:val="en-US" w:eastAsia="zh-CN"/>
        </w:rPr>
        <w:t>（五）</w:t>
      </w:r>
      <w:r>
        <w:rPr>
          <w:rFonts w:hint="eastAsia" w:ascii="方正楷体_GBK" w:hAnsi="方正楷体_GBK" w:eastAsia="方正楷体_GBK" w:cs="方正楷体_GBK"/>
          <w:b w:val="0"/>
          <w:bCs/>
          <w:color w:val="auto"/>
          <w:sz w:val="31"/>
          <w:szCs w:val="31"/>
          <w:highlight w:val="none"/>
          <w:lang w:val="en-US"/>
        </w:rPr>
        <w:t>预算执行进度与绩效指标总体完成率偏差</w:t>
      </w:r>
    </w:p>
    <w:p w14:paraId="72A311F3">
      <w:pPr>
        <w:pStyle w:val="25"/>
        <w:spacing w:line="560" w:lineRule="exact"/>
        <w:ind w:firstLine="64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lang w:val="en-US" w:eastAsia="zh-CN"/>
        </w:rPr>
        <w:t>2024年博湖县查干诺尔乡乌腾郭楞村美丽乡村建设试点项目</w:t>
      </w:r>
      <w:r>
        <w:rPr>
          <w:rFonts w:hint="eastAsia" w:ascii="方正仿宋_GBK" w:hAnsi="方正仿宋_GBK" w:eastAsia="方正仿宋_GBK" w:cs="方正仿宋_GBK"/>
          <w:b w:val="0"/>
          <w:bCs/>
          <w:color w:val="auto"/>
          <w:sz w:val="31"/>
          <w:szCs w:val="31"/>
          <w:highlight w:val="none"/>
        </w:rPr>
        <w:t>年初预算</w:t>
      </w:r>
      <w:r>
        <w:rPr>
          <w:rFonts w:hint="eastAsia" w:ascii="方正仿宋_GBK" w:hAnsi="方正仿宋_GBK" w:eastAsia="方正仿宋_GBK" w:cs="方正仿宋_GBK"/>
          <w:b w:val="0"/>
          <w:bCs/>
          <w:color w:val="auto"/>
          <w:sz w:val="31"/>
          <w:szCs w:val="31"/>
          <w:highlight w:val="none"/>
          <w:lang w:val="en-US" w:eastAsia="zh-CN"/>
        </w:rPr>
        <w:t>200</w:t>
      </w:r>
      <w:r>
        <w:rPr>
          <w:rFonts w:hint="eastAsia" w:ascii="方正仿宋_GBK" w:hAnsi="方正仿宋_GBK" w:eastAsia="方正仿宋_GBK" w:cs="方正仿宋_GBK"/>
          <w:b w:val="0"/>
          <w:bCs/>
          <w:color w:val="auto"/>
          <w:sz w:val="31"/>
          <w:szCs w:val="31"/>
          <w:highlight w:val="none"/>
        </w:rPr>
        <w:t>万元，全年预算</w:t>
      </w:r>
      <w:r>
        <w:rPr>
          <w:rFonts w:hint="eastAsia" w:ascii="方正仿宋_GBK" w:hAnsi="方正仿宋_GBK" w:eastAsia="方正仿宋_GBK" w:cs="方正仿宋_GBK"/>
          <w:b w:val="0"/>
          <w:bCs/>
          <w:color w:val="auto"/>
          <w:sz w:val="31"/>
          <w:szCs w:val="31"/>
          <w:highlight w:val="none"/>
          <w:lang w:val="en-US" w:eastAsia="zh-CN"/>
        </w:rPr>
        <w:t>158.7</w:t>
      </w:r>
      <w:r>
        <w:rPr>
          <w:rFonts w:hint="eastAsia" w:ascii="方正仿宋_GBK" w:hAnsi="方正仿宋_GBK" w:eastAsia="方正仿宋_GBK" w:cs="方正仿宋_GBK"/>
          <w:b w:val="0"/>
          <w:bCs/>
          <w:color w:val="auto"/>
          <w:sz w:val="31"/>
          <w:szCs w:val="31"/>
          <w:highlight w:val="none"/>
        </w:rPr>
        <w:t>万元，实际支出</w:t>
      </w:r>
      <w:r>
        <w:rPr>
          <w:rFonts w:hint="eastAsia" w:ascii="方正仿宋_GBK" w:hAnsi="方正仿宋_GBK" w:eastAsia="方正仿宋_GBK" w:cs="方正仿宋_GBK"/>
          <w:b w:val="0"/>
          <w:bCs/>
          <w:color w:val="auto"/>
          <w:sz w:val="31"/>
          <w:szCs w:val="31"/>
          <w:highlight w:val="none"/>
          <w:lang w:val="en-US" w:eastAsia="zh-CN"/>
        </w:rPr>
        <w:t>158.7</w:t>
      </w:r>
      <w:r>
        <w:rPr>
          <w:rFonts w:hint="eastAsia" w:ascii="方正仿宋_GBK" w:hAnsi="方正仿宋_GBK" w:eastAsia="方正仿宋_GBK" w:cs="方正仿宋_GBK"/>
          <w:b w:val="0"/>
          <w:bCs/>
          <w:color w:val="auto"/>
          <w:sz w:val="31"/>
          <w:szCs w:val="31"/>
          <w:highlight w:val="none"/>
        </w:rPr>
        <w:t>万元，预算执行率为</w:t>
      </w:r>
      <w:r>
        <w:rPr>
          <w:rFonts w:hint="eastAsia" w:ascii="方正仿宋_GBK" w:hAnsi="方正仿宋_GBK" w:eastAsia="方正仿宋_GBK" w:cs="方正仿宋_GBK"/>
          <w:b w:val="0"/>
          <w:bCs/>
          <w:color w:val="auto"/>
          <w:sz w:val="31"/>
          <w:szCs w:val="31"/>
          <w:highlight w:val="none"/>
          <w:lang w:val="en-US" w:eastAsia="zh-CN"/>
        </w:rPr>
        <w:t>100</w:t>
      </w:r>
      <w:r>
        <w:rPr>
          <w:rFonts w:hint="eastAsia" w:ascii="方正仿宋_GBK" w:hAnsi="方正仿宋_GBK" w:eastAsia="方正仿宋_GBK" w:cs="方正仿宋_GBK"/>
          <w:b w:val="0"/>
          <w:bCs/>
          <w:color w:val="auto"/>
          <w:sz w:val="31"/>
          <w:szCs w:val="31"/>
          <w:highlight w:val="none"/>
        </w:rPr>
        <w:t>%，项目绩效指标总体完成率为</w:t>
      </w:r>
      <w:r>
        <w:rPr>
          <w:rFonts w:hint="eastAsia" w:ascii="方正仿宋_GBK" w:hAnsi="方正仿宋_GBK" w:eastAsia="方正仿宋_GBK" w:cs="方正仿宋_GBK"/>
          <w:b w:val="0"/>
          <w:bCs/>
          <w:color w:val="auto"/>
          <w:sz w:val="31"/>
          <w:szCs w:val="31"/>
          <w:highlight w:val="none"/>
          <w:lang w:val="en-US" w:eastAsia="zh-CN"/>
        </w:rPr>
        <w:t>86.11</w:t>
      </w:r>
      <w:r>
        <w:rPr>
          <w:rFonts w:hint="eastAsia" w:ascii="方正仿宋_GBK" w:hAnsi="方正仿宋_GBK" w:eastAsia="方正仿宋_GBK" w:cs="方正仿宋_GBK"/>
          <w:b w:val="0"/>
          <w:bCs/>
          <w:color w:val="auto"/>
          <w:sz w:val="31"/>
          <w:szCs w:val="31"/>
          <w:highlight w:val="none"/>
        </w:rPr>
        <w:t>%，总体偏差率为</w:t>
      </w:r>
      <w:r>
        <w:rPr>
          <w:rFonts w:hint="eastAsia" w:ascii="方正仿宋_GBK" w:hAnsi="方正仿宋_GBK" w:eastAsia="方正仿宋_GBK" w:cs="方正仿宋_GBK"/>
          <w:b w:val="0"/>
          <w:bCs/>
          <w:color w:val="auto"/>
          <w:sz w:val="31"/>
          <w:szCs w:val="31"/>
          <w:highlight w:val="none"/>
          <w:lang w:val="en-US" w:eastAsia="zh-CN"/>
        </w:rPr>
        <w:t>13.89</w:t>
      </w:r>
      <w:r>
        <w:rPr>
          <w:rFonts w:hint="eastAsia" w:ascii="方正仿宋_GBK" w:hAnsi="方正仿宋_GBK" w:eastAsia="方正仿宋_GBK" w:cs="方正仿宋_GBK"/>
          <w:b w:val="0"/>
          <w:bCs/>
          <w:color w:val="auto"/>
          <w:sz w:val="31"/>
          <w:szCs w:val="31"/>
          <w:highlight w:val="none"/>
        </w:rPr>
        <w:t>%</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rPr>
        <w:t>偏差原因</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项目前期手续办理滞后，实施过程不够连贯，导致项目未能按期开工及完工</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rPr>
        <w:t>改进措施</w:t>
      </w:r>
      <w:r>
        <w:rPr>
          <w:rFonts w:hint="eastAsia" w:ascii="方正仿宋_GBK" w:hAnsi="方正仿宋_GBK" w:eastAsia="方正仿宋_GBK" w:cs="方正仿宋_GBK"/>
          <w:b w:val="0"/>
          <w:bCs/>
          <w:color w:val="auto"/>
          <w:sz w:val="31"/>
          <w:szCs w:val="31"/>
          <w:highlight w:val="none"/>
          <w:lang w:eastAsia="zh-CN"/>
        </w:rPr>
        <w:t>：</w:t>
      </w:r>
      <w:r>
        <w:rPr>
          <w:rFonts w:hint="eastAsia" w:ascii="方正仿宋_GBK" w:hAnsi="方正仿宋_GBK" w:eastAsia="方正仿宋_GBK" w:cs="方正仿宋_GBK"/>
          <w:b w:val="0"/>
          <w:bCs/>
          <w:color w:val="auto"/>
          <w:sz w:val="31"/>
          <w:szCs w:val="31"/>
          <w:highlight w:val="none"/>
          <w:lang w:val="en-US" w:eastAsia="zh-CN"/>
        </w:rPr>
        <w:t>加快前期办理进度，统筹安排项目施工进度，确保项目按计划开工、按时完工</w:t>
      </w:r>
      <w:r>
        <w:rPr>
          <w:rFonts w:hint="eastAsia" w:ascii="方正仿宋_GBK" w:hAnsi="方正仿宋_GBK" w:eastAsia="方正仿宋_GBK" w:cs="方正仿宋_GBK"/>
          <w:b w:val="0"/>
          <w:bCs/>
          <w:color w:val="auto"/>
          <w:sz w:val="31"/>
          <w:szCs w:val="31"/>
          <w:highlight w:val="none"/>
        </w:rPr>
        <w:t>。</w:t>
      </w:r>
    </w:p>
    <w:p w14:paraId="75D4E6D2">
      <w:pPr>
        <w:spacing w:line="560" w:lineRule="exact"/>
        <w:ind w:firstLine="620" w:firstLineChars="200"/>
        <w:rPr>
          <w:rFonts w:hint="eastAsia" w:ascii="方正黑体_GBK" w:hAnsi="方正黑体_GBK" w:eastAsia="方正黑体_GBK" w:cs="方正黑体_GBK"/>
          <w:b w:val="0"/>
          <w:bCs/>
          <w:color w:val="auto"/>
          <w:sz w:val="31"/>
          <w:szCs w:val="31"/>
          <w:highlight w:val="none"/>
          <w:lang w:eastAsia="zh-CN"/>
        </w:rPr>
      </w:pPr>
      <w:r>
        <w:rPr>
          <w:rFonts w:hint="eastAsia" w:ascii="方正黑体_GBK" w:hAnsi="方正黑体_GBK" w:eastAsia="方正黑体_GBK" w:cs="方正黑体_GBK"/>
          <w:b w:val="0"/>
          <w:bCs/>
          <w:color w:val="auto"/>
          <w:sz w:val="31"/>
          <w:szCs w:val="31"/>
          <w:highlight w:val="none"/>
          <w:lang w:val="en-US" w:eastAsia="zh-CN"/>
        </w:rPr>
        <w:t>五、</w:t>
      </w:r>
      <w:r>
        <w:rPr>
          <w:rFonts w:hint="eastAsia" w:ascii="方正黑体_GBK" w:hAnsi="方正黑体_GBK" w:eastAsia="方正黑体_GBK" w:cs="方正黑体_GBK"/>
          <w:b w:val="0"/>
          <w:bCs/>
          <w:color w:val="auto"/>
          <w:sz w:val="31"/>
          <w:szCs w:val="31"/>
          <w:highlight w:val="none"/>
          <w:lang w:eastAsia="zh-CN"/>
        </w:rPr>
        <w:t>主要经验及做法、存在的问题及原因分析</w:t>
      </w:r>
    </w:p>
    <w:p w14:paraId="21BE713B">
      <w:pPr>
        <w:spacing w:line="560" w:lineRule="exact"/>
        <w:ind w:firstLine="620" w:firstLineChars="200"/>
        <w:rPr>
          <w:rFonts w:hint="eastAsia" w:ascii="方正楷体_GBK" w:hAnsi="方正楷体_GBK" w:eastAsia="方正楷体_GBK" w:cs="方正楷体_GBK"/>
          <w:b w:val="0"/>
          <w:bCs/>
          <w:color w:val="auto"/>
          <w:sz w:val="31"/>
          <w:szCs w:val="31"/>
          <w:highlight w:val="none"/>
          <w:lang w:eastAsia="zh-CN"/>
        </w:rPr>
      </w:pPr>
      <w:r>
        <w:rPr>
          <w:rFonts w:hint="eastAsia" w:ascii="方正楷体_GBK" w:hAnsi="方正楷体_GBK" w:eastAsia="方正楷体_GBK" w:cs="方正楷体_GBK"/>
          <w:b w:val="0"/>
          <w:bCs/>
          <w:color w:val="auto"/>
          <w:sz w:val="31"/>
          <w:szCs w:val="31"/>
          <w:highlight w:val="none"/>
          <w:lang w:eastAsia="zh-CN"/>
        </w:rPr>
        <w:t>（一）主要经验及做法</w:t>
      </w:r>
    </w:p>
    <w:p w14:paraId="098468BF">
      <w:pPr>
        <w:pStyle w:val="14"/>
        <w:spacing w:before="0" w:after="0" w:line="560" w:lineRule="exact"/>
        <w:ind w:firstLine="620" w:firstLineChars="200"/>
        <w:jc w:val="left"/>
        <w:rPr>
          <w:rFonts w:hint="eastAsia" w:ascii="方正仿宋_GBK" w:hAnsi="方正仿宋_GBK" w:eastAsia="方正仿宋_GBK" w:cs="方正仿宋_GBK"/>
          <w:b w:val="0"/>
          <w:bCs/>
          <w:color w:val="auto"/>
          <w:kern w:val="0"/>
          <w:sz w:val="31"/>
          <w:szCs w:val="31"/>
          <w:highlight w:val="none"/>
          <w:lang w:val="en-US" w:eastAsia="zh-CN" w:bidi="ar-SA"/>
        </w:rPr>
      </w:pPr>
      <w:r>
        <w:rPr>
          <w:rFonts w:hint="eastAsia" w:ascii="方正仿宋_GBK" w:hAnsi="方正仿宋_GBK" w:eastAsia="方正仿宋_GBK" w:cs="方正仿宋_GBK"/>
          <w:b w:val="0"/>
          <w:bCs/>
          <w:color w:val="auto"/>
          <w:kern w:val="0"/>
          <w:sz w:val="31"/>
          <w:szCs w:val="31"/>
          <w:highlight w:val="none"/>
          <w:lang w:val="en-US" w:eastAsia="zh-CN" w:bidi="ar-SA"/>
        </w:rPr>
        <w:t>为保障项目稳健推进，需从全周期强化管理：一是在项目启动前，通过多轮校验优化项目规划方案；二是在实施阶段建立常态化督查机制，严格遵循项目管理标准开展工作；三是在资金管理方面，严格对照预算范围执行审批流程，确保每笔资金精准投入项目建设；四是在项目收尾阶段，及时开展群众满意度调查，同步建立长效管护机制。</w:t>
      </w:r>
    </w:p>
    <w:p w14:paraId="7C30F9DC">
      <w:pPr>
        <w:pStyle w:val="14"/>
        <w:spacing w:before="0" w:after="0" w:line="560" w:lineRule="exact"/>
        <w:ind w:firstLine="620" w:firstLineChars="200"/>
        <w:jc w:val="left"/>
        <w:rPr>
          <w:rFonts w:hint="eastAsia" w:ascii="方正仿宋_GBK" w:hAnsi="方正仿宋_GBK" w:eastAsia="方正仿宋_GBK" w:cs="方正仿宋_GBK"/>
          <w:b w:val="0"/>
          <w:bCs/>
          <w:color w:val="auto"/>
          <w:kern w:val="2"/>
          <w:sz w:val="31"/>
          <w:szCs w:val="31"/>
          <w:highlight w:val="none"/>
        </w:rPr>
      </w:pPr>
      <w:r>
        <w:rPr>
          <w:rFonts w:hint="eastAsia" w:ascii="方正仿宋_GBK" w:hAnsi="方正仿宋_GBK" w:eastAsia="方正仿宋_GBK" w:cs="方正仿宋_GBK"/>
          <w:b w:val="0"/>
          <w:bCs/>
          <w:color w:val="auto"/>
          <w:kern w:val="0"/>
          <w:sz w:val="31"/>
          <w:szCs w:val="31"/>
          <w:highlight w:val="none"/>
          <w:lang w:val="en-US" w:eastAsia="zh-CN" w:bidi="ar-SA"/>
        </w:rPr>
        <w:t xml:space="preserve"> 在资金拨付管理上，严格执行“项目完工验收合格后再行支付”的原则，构建资金流向全程跟踪体系，有效防范资金被违规截留或挪用。同时，建立由财政、纪检、监察等多部门协同参与的全链条监管机制，将监督工作贯穿项目立项、执行、验收全过程。通过创新监督模式，推动监管关口前移，构建“事前精准审核、事中动态监控、事后全面稽核”的闭环管理体系，实现问题早预警、早干预，切实提升项目管理效能。</w:t>
      </w:r>
    </w:p>
    <w:p w14:paraId="5F560452">
      <w:pPr>
        <w:spacing w:line="560" w:lineRule="exact"/>
        <w:ind w:firstLine="620" w:firstLineChars="200"/>
        <w:rPr>
          <w:rFonts w:hint="eastAsia" w:ascii="方正楷体_GBK" w:hAnsi="方正楷体_GBK" w:eastAsia="方正楷体_GBK" w:cs="方正楷体_GBK"/>
          <w:b w:val="0"/>
          <w:bCs/>
          <w:color w:val="auto"/>
          <w:sz w:val="31"/>
          <w:szCs w:val="31"/>
          <w:highlight w:val="none"/>
          <w:lang w:eastAsia="zh-CN"/>
        </w:rPr>
      </w:pPr>
      <w:r>
        <w:rPr>
          <w:rFonts w:hint="eastAsia" w:ascii="方正楷体_GBK" w:hAnsi="方正楷体_GBK" w:eastAsia="方正楷体_GBK" w:cs="方正楷体_GBK"/>
          <w:b w:val="0"/>
          <w:bCs/>
          <w:color w:val="auto"/>
          <w:sz w:val="31"/>
          <w:szCs w:val="31"/>
          <w:highlight w:val="none"/>
          <w:lang w:eastAsia="zh-CN"/>
        </w:rPr>
        <w:t>（二）存在的问题及原因分析</w:t>
      </w:r>
    </w:p>
    <w:p w14:paraId="35D8762F">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 xml:space="preserve">1. 绩效管理专业能力建设存在短板。目前团队成员对绩效管理理论体系和实务操作的系统学习仍显不足，导致绩效指标设计科学性有待提升，具体表现为指标细化程度不够、量化标准不完善。在开展绩效自评工作时，由于部分人员专业知识储备不足，缺乏科学评价方法和工具的运用能力，评价过程中易受主观因素制约，难以全面客观反映项目真实绩效水平，影响了评价结果的权威性和有效性。 </w:t>
      </w:r>
    </w:p>
    <w:p w14:paraId="39D8A41C">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 人员岗位变动对绩效管理工作产生不利影响。受轮岗交流、岗位调整等因素影响，单位内部绩效工作岗位人员更迭频繁，新旧工作交接存在断层现象，导致工作连续性不足，部分阶段性任务推进迟缓，业务衔接不畅，给绩效管理工作的有序开展带来一定挑战。</w:t>
      </w:r>
    </w:p>
    <w:p w14:paraId="0A15B925">
      <w:pPr>
        <w:spacing w:line="560" w:lineRule="exact"/>
        <w:ind w:firstLine="620" w:firstLineChars="200"/>
        <w:rPr>
          <w:rFonts w:hint="eastAsia" w:ascii="方正黑体_GBK" w:hAnsi="方正黑体_GBK" w:eastAsia="方正黑体_GBK" w:cs="方正黑体_GBK"/>
          <w:b w:val="0"/>
          <w:bCs/>
          <w:color w:val="auto"/>
          <w:sz w:val="31"/>
          <w:szCs w:val="31"/>
          <w:highlight w:val="none"/>
          <w:lang w:eastAsia="zh-CN"/>
        </w:rPr>
      </w:pPr>
      <w:r>
        <w:rPr>
          <w:rFonts w:hint="eastAsia" w:ascii="方正黑体_GBK" w:hAnsi="方正黑体_GBK" w:eastAsia="方正黑体_GBK" w:cs="方正黑体_GBK"/>
          <w:b w:val="0"/>
          <w:bCs/>
          <w:color w:val="auto"/>
          <w:sz w:val="31"/>
          <w:szCs w:val="31"/>
          <w:highlight w:val="none"/>
          <w:lang w:val="en-US" w:eastAsia="zh-CN"/>
        </w:rPr>
        <w:t>六、</w:t>
      </w:r>
      <w:r>
        <w:rPr>
          <w:rFonts w:hint="eastAsia" w:ascii="方正黑体_GBK" w:hAnsi="方正黑体_GBK" w:eastAsia="方正黑体_GBK" w:cs="方正黑体_GBK"/>
          <w:b w:val="0"/>
          <w:bCs/>
          <w:color w:val="auto"/>
          <w:sz w:val="31"/>
          <w:szCs w:val="31"/>
          <w:highlight w:val="none"/>
          <w:lang w:eastAsia="zh-CN"/>
        </w:rPr>
        <w:t>有关建议</w:t>
      </w:r>
    </w:p>
    <w:p w14:paraId="5F67FD1E">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 xml:space="preserve">1. 强化专业培训体系建设：通过引入第三方专业机构，系统开展绩效管理专题培训，围绕指标设计、评价方法、工具应用等核心内容，构建理论与实践相结合的培训课程体系，全面提升绩效管理人员的专业素养和实操能力，筑牢业务根基。 </w:t>
      </w:r>
    </w:p>
    <w:p w14:paraId="1A311B11">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 优化岗位管理机制：建立健全绩效工作岗位责任制，明确岗位职责、任职标准及考核要求，通过定职定岗定责的规范化管理，稳定专业人才队伍，减少因人员流动导致的工作断层，推动绩效管理工作专业化、标准化发展。</w:t>
      </w:r>
    </w:p>
    <w:p w14:paraId="78CD6828">
      <w:pPr>
        <w:shd w:val="clear" w:color="auto" w:fill="auto"/>
        <w:spacing w:line="600" w:lineRule="exact"/>
        <w:ind w:firstLine="620" w:firstLineChars="200"/>
        <w:outlineLvl w:val="0"/>
        <w:rPr>
          <w:rFonts w:hint="eastAsia" w:ascii="方正黑体_GBK" w:hAnsi="方正黑体_GBK" w:eastAsia="方正黑体_GBK" w:cs="方正黑体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3. 严格规范项目全流程管理：项目前期深化可行性研究，细化实施方案编制；实施过程中严格执行资金管理和财政规章制度，遵循项目方案及招投标管理办法有序推进；要求各部门结合项目特性总结经验，形成可复制的管理模式，确保项目建设规范高效。</w:t>
      </w:r>
    </w:p>
    <w:p w14:paraId="707B7DBE">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4. 完善项目绩效管理闭环：构建全周期数据管理机制，从项目启动阶段即同步开展档案资料的收集、整理和审核工作，建立动态更新的项目档案库。同时加强项目后期跟踪评估，通过持续监测与分析，及时发现问题并优化管理策略。</w:t>
      </w:r>
    </w:p>
    <w:p w14:paraId="5527B8FB">
      <w:pPr>
        <w:shd w:val="clear" w:color="auto" w:fill="auto"/>
        <w:spacing w:line="600" w:lineRule="exact"/>
        <w:ind w:firstLine="620" w:firstLineChars="200"/>
        <w:outlineLvl w:val="0"/>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5. 加强组织领导与制度创新：成立专项领导小组统筹绩效管理工作，强化全员预算绩效管理意识，通过定期总结经验、查摆问题，完善绩效评价管理办法。将食品安全考核与绩效工作有机结合，建立专项考核制度，开展多层次学习宣贯活动，推动“花钱必问效，无效必问责”理念贯穿工作全流程，全面提升绩效管理效能。</w:t>
      </w:r>
    </w:p>
    <w:p w14:paraId="78305AC2">
      <w:pPr>
        <w:spacing w:line="560" w:lineRule="exact"/>
        <w:ind w:firstLine="620" w:firstLineChars="200"/>
        <w:rPr>
          <w:rFonts w:hint="eastAsia" w:ascii="方正黑体_GBK" w:hAnsi="方正黑体_GBK" w:eastAsia="方正黑体_GBK" w:cs="方正黑体_GBK"/>
          <w:b w:val="0"/>
          <w:bCs/>
          <w:color w:val="auto"/>
          <w:sz w:val="31"/>
          <w:szCs w:val="31"/>
          <w:highlight w:val="none"/>
          <w:lang w:eastAsia="zh-CN"/>
        </w:rPr>
      </w:pPr>
      <w:r>
        <w:rPr>
          <w:rFonts w:hint="eastAsia" w:ascii="方正黑体_GBK" w:hAnsi="方正黑体_GBK" w:eastAsia="方正黑体_GBK" w:cs="方正黑体_GBK"/>
          <w:b w:val="0"/>
          <w:bCs/>
          <w:color w:val="auto"/>
          <w:sz w:val="31"/>
          <w:szCs w:val="31"/>
          <w:highlight w:val="none"/>
          <w:lang w:val="en-US" w:eastAsia="zh-CN"/>
        </w:rPr>
        <w:t>七、</w:t>
      </w:r>
      <w:r>
        <w:rPr>
          <w:rFonts w:hint="eastAsia" w:ascii="方正黑体_GBK" w:hAnsi="方正黑体_GBK" w:eastAsia="方正黑体_GBK" w:cs="方正黑体_GBK"/>
          <w:b w:val="0"/>
          <w:bCs/>
          <w:color w:val="auto"/>
          <w:sz w:val="31"/>
          <w:szCs w:val="31"/>
          <w:highlight w:val="none"/>
          <w:lang w:eastAsia="zh-CN"/>
        </w:rPr>
        <w:t>其他需要说</w:t>
      </w:r>
      <w:bookmarkStart w:id="8" w:name="page8"/>
      <w:bookmarkEnd w:id="8"/>
      <w:r>
        <w:rPr>
          <w:rFonts w:hint="eastAsia" w:ascii="方正黑体_GBK" w:hAnsi="方正黑体_GBK" w:eastAsia="方正黑体_GBK" w:cs="方正黑体_GBK"/>
          <w:b w:val="0"/>
          <w:bCs/>
          <w:color w:val="auto"/>
          <w:sz w:val="31"/>
          <w:szCs w:val="31"/>
          <w:highlight w:val="none"/>
          <w:lang w:eastAsia="zh-CN"/>
        </w:rPr>
        <w:t>明的问题</w:t>
      </w:r>
    </w:p>
    <w:p w14:paraId="216A1E7D">
      <w:pPr>
        <w:pStyle w:val="16"/>
        <w:spacing w:after="0" w:line="560" w:lineRule="exact"/>
        <w:ind w:left="0" w:leftChars="0" w:firstLine="640"/>
        <w:rPr>
          <w:rFonts w:hint="eastAsia" w:ascii="方正仿宋_GBK" w:hAnsi="方正仿宋_GBK" w:eastAsia="方正仿宋_GBK" w:cs="方正仿宋_GBK"/>
          <w:b w:val="0"/>
          <w:bCs/>
          <w:color w:val="auto"/>
          <w:sz w:val="31"/>
          <w:szCs w:val="31"/>
          <w:highlight w:val="none"/>
        </w:rPr>
      </w:pPr>
      <w:r>
        <w:rPr>
          <w:rFonts w:hint="eastAsia" w:ascii="方正仿宋_GBK" w:hAnsi="方正仿宋_GBK" w:eastAsia="方正仿宋_GBK" w:cs="方正仿宋_GBK"/>
          <w:b w:val="0"/>
          <w:bCs/>
          <w:color w:val="auto"/>
          <w:sz w:val="31"/>
          <w:szCs w:val="31"/>
          <w:highlight w:val="none"/>
        </w:rPr>
        <w:t>本项目无其他需说明的问题。</w:t>
      </w:r>
    </w:p>
    <w:p w14:paraId="53380BAE">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4253F1AE">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76809E55">
      <w:pPr>
        <w:pStyle w:val="25"/>
        <w:ind w:firstLine="562"/>
        <w:jc w:val="center"/>
        <w:rPr>
          <w:rFonts w:hint="eastAsia" w:ascii="仿宋_GB2312" w:hAnsi="仿宋_GB2312" w:eastAsia="仿宋_GB2312" w:cs="仿宋_GB2312"/>
          <w:color w:val="auto"/>
          <w:sz w:val="28"/>
          <w:szCs w:val="40"/>
          <w:highlight w:val="none"/>
        </w:rPr>
      </w:pPr>
      <w:bookmarkStart w:id="9" w:name="_Toc30064_WPSOffice_Level1"/>
      <w:bookmarkStart w:id="10" w:name="_Toc26499_WPSOffice_Level2"/>
      <w:r>
        <w:rPr>
          <w:rFonts w:hint="eastAsia" w:ascii="仿宋_GB2312" w:hAnsi="仿宋_GB2312" w:eastAsia="仿宋_GB2312" w:cs="仿宋_GB2312"/>
          <w:b/>
          <w:bCs/>
          <w:color w:val="auto"/>
          <w:sz w:val="28"/>
          <w:szCs w:val="40"/>
          <w:highlight w:val="none"/>
          <w:lang w:val="en-US" w:eastAsia="zh-CN"/>
        </w:rPr>
        <w:t>2024年博湖县查干诺尔乡乌腾郭楞村美丽乡村建设试点项目</w:t>
      </w:r>
      <w:r>
        <w:rPr>
          <w:rFonts w:hint="eastAsia" w:ascii="仿宋_GB2312" w:hAnsi="仿宋_GB2312" w:eastAsia="仿宋_GB2312" w:cs="仿宋_GB2312"/>
          <w:b/>
          <w:bCs/>
          <w:color w:val="auto"/>
          <w:sz w:val="28"/>
          <w:szCs w:val="40"/>
          <w:highlight w:val="none"/>
        </w:rPr>
        <w:t>绩效评价指标体系及综合评分表</w:t>
      </w:r>
      <w:bookmarkEnd w:id="9"/>
      <w:bookmarkEnd w:id="10"/>
    </w:p>
    <w:tbl>
      <w:tblPr>
        <w:tblStyle w:val="17"/>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14:paraId="1D09E0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E95A4C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7ECE568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7D650D6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1650682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14:paraId="1996216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2345C10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000FD50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68629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5BD815B3">
            <w:pPr>
              <w:widowControl/>
              <w:spacing w:line="0" w:lineRule="atLeast"/>
              <w:jc w:val="center"/>
              <w:rPr>
                <w:rFonts w:hint="default" w:ascii="Times New Roman" w:hAnsi="Times New Roman" w:eastAsia="仿宋_GB2312" w:cs="Times New Roman"/>
                <w:color w:val="auto"/>
                <w:kern w:val="0"/>
                <w:sz w:val="18"/>
                <w:szCs w:val="18"/>
                <w:highlight w:val="none"/>
              </w:rPr>
            </w:pPr>
          </w:p>
          <w:p w14:paraId="549E882A">
            <w:pPr>
              <w:widowControl/>
              <w:spacing w:line="0" w:lineRule="atLeast"/>
              <w:jc w:val="center"/>
              <w:rPr>
                <w:rFonts w:hint="default" w:ascii="Times New Roman" w:hAnsi="Times New Roman" w:eastAsia="仿宋_GB2312" w:cs="Times New Roman"/>
                <w:color w:val="auto"/>
                <w:kern w:val="0"/>
                <w:sz w:val="18"/>
                <w:szCs w:val="18"/>
                <w:highlight w:val="none"/>
              </w:rPr>
            </w:pPr>
          </w:p>
          <w:p w14:paraId="4391ACA5">
            <w:pPr>
              <w:widowControl/>
              <w:spacing w:line="0" w:lineRule="atLeast"/>
              <w:jc w:val="center"/>
              <w:rPr>
                <w:rFonts w:hint="default" w:ascii="Times New Roman" w:hAnsi="Times New Roman" w:eastAsia="仿宋_GB2312" w:cs="Times New Roman"/>
                <w:color w:val="auto"/>
                <w:kern w:val="0"/>
                <w:sz w:val="18"/>
                <w:szCs w:val="18"/>
                <w:highlight w:val="none"/>
              </w:rPr>
            </w:pPr>
          </w:p>
          <w:p w14:paraId="2A83501F">
            <w:pPr>
              <w:widowControl/>
              <w:spacing w:line="0" w:lineRule="atLeast"/>
              <w:jc w:val="center"/>
              <w:rPr>
                <w:rFonts w:hint="default" w:ascii="Times New Roman" w:hAnsi="Times New Roman" w:eastAsia="仿宋_GB2312" w:cs="Times New Roman"/>
                <w:color w:val="auto"/>
                <w:kern w:val="0"/>
                <w:sz w:val="18"/>
                <w:szCs w:val="18"/>
                <w:highlight w:val="none"/>
              </w:rPr>
            </w:pPr>
          </w:p>
          <w:p w14:paraId="7F42811C">
            <w:pPr>
              <w:widowControl/>
              <w:spacing w:line="0" w:lineRule="atLeast"/>
              <w:jc w:val="center"/>
              <w:rPr>
                <w:rFonts w:hint="default" w:ascii="Times New Roman" w:hAnsi="Times New Roman" w:eastAsia="仿宋_GB2312" w:cs="Times New Roman"/>
                <w:color w:val="auto"/>
                <w:kern w:val="0"/>
                <w:sz w:val="18"/>
                <w:szCs w:val="18"/>
                <w:highlight w:val="none"/>
              </w:rPr>
            </w:pPr>
          </w:p>
          <w:p w14:paraId="5604F916">
            <w:pPr>
              <w:widowControl/>
              <w:spacing w:line="0" w:lineRule="atLeast"/>
              <w:jc w:val="center"/>
              <w:rPr>
                <w:rFonts w:hint="default" w:ascii="Times New Roman" w:hAnsi="Times New Roman" w:eastAsia="仿宋_GB2312" w:cs="Times New Roman"/>
                <w:color w:val="auto"/>
                <w:kern w:val="0"/>
                <w:sz w:val="18"/>
                <w:szCs w:val="18"/>
                <w:highlight w:val="none"/>
              </w:rPr>
            </w:pPr>
          </w:p>
          <w:p w14:paraId="45ECC1B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71ACE45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0B21721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36507A3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14:paraId="582B0D3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41682336">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5DAA43E4">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19E2001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65E83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5DC3F864">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7951F9FE">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3012D53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0B7C0CD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1A49CE5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14:paraId="764DA239">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7194051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3F0B9F05">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53759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7BADFE9C">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2CC43C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1C0A7C0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661278E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2A8663B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0B0D2940">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24937AFB">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2729DCA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1BF3F50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1149A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4DB86CD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E5840C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888B7D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1BC5C65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34D8572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071D2CB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431254B5">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7426326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14:paraId="6E2CE9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4059B8E8">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1F76AB4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3BDA1888">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63ABF43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32E7541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11501E7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54552CA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021E5C6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094CDCE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CC1F4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0EDC59A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B62494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47441A4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1D07FDD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5299913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77C4BAE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0116079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68E976CE">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6C19D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4EB77CA3">
            <w:pPr>
              <w:spacing w:line="0" w:lineRule="atLeast"/>
              <w:jc w:val="center"/>
              <w:rPr>
                <w:rFonts w:hint="default" w:ascii="Times New Roman" w:hAnsi="Times New Roman" w:eastAsia="仿宋_GB2312" w:cs="Times New Roman"/>
                <w:color w:val="auto"/>
                <w:kern w:val="0"/>
                <w:sz w:val="18"/>
                <w:szCs w:val="18"/>
                <w:highlight w:val="none"/>
              </w:rPr>
            </w:pPr>
          </w:p>
          <w:p w14:paraId="64DBBEAC">
            <w:pPr>
              <w:spacing w:line="0" w:lineRule="atLeast"/>
              <w:jc w:val="center"/>
              <w:rPr>
                <w:rFonts w:hint="default" w:ascii="Times New Roman" w:hAnsi="Times New Roman" w:eastAsia="仿宋_GB2312" w:cs="Times New Roman"/>
                <w:color w:val="auto"/>
                <w:kern w:val="0"/>
                <w:sz w:val="18"/>
                <w:szCs w:val="18"/>
                <w:highlight w:val="none"/>
              </w:rPr>
            </w:pPr>
          </w:p>
          <w:p w14:paraId="5858C04D">
            <w:pPr>
              <w:spacing w:line="0" w:lineRule="atLeast"/>
              <w:jc w:val="center"/>
              <w:rPr>
                <w:rFonts w:hint="default" w:ascii="Times New Roman" w:hAnsi="Times New Roman" w:eastAsia="仿宋_GB2312" w:cs="Times New Roman"/>
                <w:color w:val="auto"/>
                <w:kern w:val="0"/>
                <w:sz w:val="18"/>
                <w:szCs w:val="18"/>
                <w:highlight w:val="none"/>
              </w:rPr>
            </w:pPr>
          </w:p>
          <w:p w14:paraId="5B9405C2">
            <w:pPr>
              <w:spacing w:line="0" w:lineRule="atLeast"/>
              <w:jc w:val="center"/>
              <w:rPr>
                <w:rFonts w:hint="default" w:ascii="Times New Roman" w:hAnsi="Times New Roman" w:eastAsia="仿宋_GB2312" w:cs="Times New Roman"/>
                <w:color w:val="auto"/>
                <w:kern w:val="0"/>
                <w:sz w:val="18"/>
                <w:szCs w:val="18"/>
                <w:highlight w:val="none"/>
              </w:rPr>
            </w:pPr>
          </w:p>
          <w:p w14:paraId="2B9D4253">
            <w:pPr>
              <w:spacing w:line="0" w:lineRule="atLeast"/>
              <w:jc w:val="center"/>
              <w:rPr>
                <w:rFonts w:hint="default" w:ascii="Times New Roman" w:hAnsi="Times New Roman" w:eastAsia="仿宋_GB2312" w:cs="Times New Roman"/>
                <w:color w:val="auto"/>
                <w:kern w:val="0"/>
                <w:sz w:val="18"/>
                <w:szCs w:val="18"/>
                <w:highlight w:val="none"/>
              </w:rPr>
            </w:pPr>
          </w:p>
          <w:p w14:paraId="165B669A">
            <w:pPr>
              <w:spacing w:line="0" w:lineRule="atLeast"/>
              <w:jc w:val="center"/>
              <w:rPr>
                <w:rFonts w:hint="default" w:ascii="Times New Roman" w:hAnsi="Times New Roman" w:eastAsia="仿宋_GB2312" w:cs="Times New Roman"/>
                <w:color w:val="auto"/>
                <w:kern w:val="0"/>
                <w:sz w:val="18"/>
                <w:szCs w:val="18"/>
                <w:highlight w:val="none"/>
              </w:rPr>
            </w:pPr>
          </w:p>
          <w:p w14:paraId="0325AB5C">
            <w:pPr>
              <w:spacing w:line="0" w:lineRule="atLeast"/>
              <w:jc w:val="center"/>
              <w:rPr>
                <w:rFonts w:hint="default" w:ascii="Times New Roman" w:hAnsi="Times New Roman" w:eastAsia="仿宋_GB2312" w:cs="Times New Roman"/>
                <w:color w:val="auto"/>
                <w:kern w:val="0"/>
                <w:sz w:val="18"/>
                <w:szCs w:val="18"/>
                <w:highlight w:val="none"/>
              </w:rPr>
            </w:pPr>
          </w:p>
          <w:p w14:paraId="7843B699">
            <w:pPr>
              <w:spacing w:line="0" w:lineRule="atLeast"/>
              <w:jc w:val="center"/>
              <w:rPr>
                <w:rFonts w:hint="default" w:ascii="Times New Roman" w:hAnsi="Times New Roman" w:eastAsia="仿宋_GB2312" w:cs="Times New Roman"/>
                <w:color w:val="auto"/>
                <w:kern w:val="0"/>
                <w:sz w:val="18"/>
                <w:szCs w:val="18"/>
                <w:highlight w:val="none"/>
              </w:rPr>
            </w:pPr>
          </w:p>
          <w:p w14:paraId="6CBECB7A">
            <w:pPr>
              <w:spacing w:line="0" w:lineRule="atLeast"/>
              <w:jc w:val="center"/>
              <w:rPr>
                <w:rFonts w:hint="default" w:ascii="Times New Roman" w:hAnsi="Times New Roman" w:eastAsia="仿宋_GB2312" w:cs="Times New Roman"/>
                <w:color w:val="auto"/>
                <w:kern w:val="0"/>
                <w:sz w:val="18"/>
                <w:szCs w:val="18"/>
                <w:highlight w:val="none"/>
              </w:rPr>
            </w:pPr>
          </w:p>
          <w:p w14:paraId="54D93C8B">
            <w:pPr>
              <w:spacing w:line="0" w:lineRule="atLeast"/>
              <w:jc w:val="center"/>
              <w:rPr>
                <w:rFonts w:hint="default" w:ascii="Times New Roman" w:hAnsi="Times New Roman" w:eastAsia="仿宋_GB2312" w:cs="Times New Roman"/>
                <w:color w:val="auto"/>
                <w:kern w:val="0"/>
                <w:sz w:val="18"/>
                <w:szCs w:val="18"/>
                <w:highlight w:val="none"/>
              </w:rPr>
            </w:pPr>
          </w:p>
          <w:p w14:paraId="5CC7E349">
            <w:pPr>
              <w:spacing w:line="0" w:lineRule="atLeast"/>
              <w:jc w:val="center"/>
              <w:rPr>
                <w:rFonts w:hint="default" w:ascii="Times New Roman" w:hAnsi="Times New Roman" w:eastAsia="仿宋_GB2312" w:cs="Times New Roman"/>
                <w:color w:val="auto"/>
                <w:kern w:val="0"/>
                <w:sz w:val="18"/>
                <w:szCs w:val="18"/>
                <w:highlight w:val="none"/>
              </w:rPr>
            </w:pPr>
          </w:p>
          <w:p w14:paraId="6BBFEF8F">
            <w:pPr>
              <w:spacing w:line="0" w:lineRule="atLeast"/>
              <w:jc w:val="center"/>
              <w:rPr>
                <w:rFonts w:hint="default" w:ascii="Times New Roman" w:hAnsi="Times New Roman" w:eastAsia="仿宋_GB2312" w:cs="Times New Roman"/>
                <w:color w:val="auto"/>
                <w:kern w:val="0"/>
                <w:sz w:val="18"/>
                <w:szCs w:val="18"/>
                <w:highlight w:val="none"/>
              </w:rPr>
            </w:pPr>
          </w:p>
          <w:p w14:paraId="3AC8F342">
            <w:pPr>
              <w:spacing w:line="0" w:lineRule="atLeast"/>
              <w:jc w:val="center"/>
              <w:rPr>
                <w:rFonts w:hint="default" w:ascii="Times New Roman" w:hAnsi="Times New Roman" w:eastAsia="仿宋_GB2312" w:cs="Times New Roman"/>
                <w:color w:val="auto"/>
                <w:kern w:val="0"/>
                <w:sz w:val="18"/>
                <w:szCs w:val="18"/>
                <w:highlight w:val="none"/>
              </w:rPr>
            </w:pPr>
          </w:p>
          <w:p w14:paraId="5D801D5A">
            <w:pPr>
              <w:spacing w:line="0" w:lineRule="atLeast"/>
              <w:jc w:val="center"/>
              <w:rPr>
                <w:rFonts w:hint="default" w:ascii="Times New Roman" w:hAnsi="Times New Roman" w:eastAsia="仿宋_GB2312" w:cs="Times New Roman"/>
                <w:color w:val="auto"/>
                <w:kern w:val="0"/>
                <w:sz w:val="18"/>
                <w:szCs w:val="18"/>
                <w:highlight w:val="none"/>
              </w:rPr>
            </w:pPr>
          </w:p>
          <w:p w14:paraId="6851D588">
            <w:pPr>
              <w:spacing w:line="0" w:lineRule="atLeast"/>
              <w:jc w:val="center"/>
              <w:rPr>
                <w:rFonts w:hint="default" w:ascii="Times New Roman" w:hAnsi="Times New Roman" w:eastAsia="仿宋_GB2312" w:cs="Times New Roman"/>
                <w:color w:val="auto"/>
                <w:kern w:val="0"/>
                <w:sz w:val="18"/>
                <w:szCs w:val="18"/>
                <w:highlight w:val="none"/>
              </w:rPr>
            </w:pPr>
          </w:p>
          <w:p w14:paraId="7D94D90C">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4565F85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20D77A6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3698491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0676393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3F3EDC4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7B4FB7C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2796957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0D2F593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273365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1DE20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73D4C2C2">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AF90E60">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A506F6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2174AAE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14:paraId="51D617C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78B8FBA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29FB1954">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2DA5F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3520F26">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713D1E8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711DA12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72EB8F3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295C4A3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07B95F4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346BB2A3">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71974DB1">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5DA489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55756CB8">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3BDE4DB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4545F413">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222F0B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7970C9F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392A643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1F37FBE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3824A36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419F3A9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AF04E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6B2FDD76">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0605FD4">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6F39E9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08C2C7C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7E61CCA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0BAF94A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04D50E3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171E0CF3">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14:paraId="3D51E7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4A33D08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2398A69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3AE05E7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442EE15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6DE5DF3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4E12B64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5765A309">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2942E7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2A8FEFDC">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47949C9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5EA35A5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53F6F84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011C221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7C95AE9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EC6F3F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58C9A79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0</w:t>
            </w:r>
          </w:p>
        </w:tc>
      </w:tr>
      <w:tr w14:paraId="13A223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0570921B">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B0F7CBC">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1DECD2D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0ADE71F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70F5AC6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09C548F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50F2D7B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3.33</w:t>
            </w:r>
          </w:p>
        </w:tc>
      </w:tr>
      <w:tr w14:paraId="37D7F9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6793BE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4DD4A00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0CBD929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w:t>
            </w:r>
            <w:r>
              <w:rPr>
                <w:rFonts w:hint="eastAsia" w:eastAsia="仿宋_GB2312" w:cs="Times New Roman"/>
                <w:color w:val="auto"/>
                <w:kern w:val="0"/>
                <w:sz w:val="18"/>
                <w:szCs w:val="18"/>
                <w:highlight w:val="none"/>
                <w:lang w:eastAsia="zh-CN"/>
              </w:rPr>
              <w:t>完成</w:t>
            </w:r>
            <w:r>
              <w:rPr>
                <w:rFonts w:hint="default" w:ascii="Times New Roman" w:hAnsi="Times New Roman" w:eastAsia="仿宋_GB2312" w:cs="Times New Roman"/>
                <w:color w:val="auto"/>
                <w:kern w:val="0"/>
                <w:sz w:val="18"/>
                <w:szCs w:val="18"/>
                <w:highlight w:val="none"/>
              </w:rPr>
              <w:t>率</w:t>
            </w:r>
          </w:p>
        </w:tc>
        <w:tc>
          <w:tcPr>
            <w:tcW w:w="680" w:type="pct"/>
            <w:shd w:val="clear" w:color="000000" w:fill="FFFFFF"/>
            <w:vAlign w:val="center"/>
          </w:tcPr>
          <w:p w14:paraId="31C589A6">
            <w:pPr>
              <w:widowControl/>
              <w:spacing w:line="0" w:lineRule="atLeast"/>
              <w:rPr>
                <w:rFonts w:hint="default" w:ascii="Times New Roman" w:hAnsi="Times New Roman" w:eastAsia="仿宋_GB2312" w:cs="Times New Roman"/>
                <w:color w:val="auto"/>
                <w:kern w:val="0"/>
                <w:sz w:val="18"/>
                <w:szCs w:val="18"/>
                <w:highlight w:val="none"/>
                <w:lang w:val="en-US" w:eastAsia="zh-CN"/>
              </w:rPr>
            </w:pPr>
            <w:r>
              <w:rPr>
                <w:rFonts w:hint="default" w:ascii="Times New Roman" w:hAnsi="Times New Roman" w:eastAsia="仿宋_GB2312" w:cs="Times New Roman"/>
                <w:color w:val="auto"/>
                <w:kern w:val="0"/>
                <w:sz w:val="18"/>
                <w:szCs w:val="18"/>
                <w:highlight w:val="none"/>
              </w:rPr>
              <w:t>完成项目计划工作目标的</w:t>
            </w:r>
            <w:r>
              <w:rPr>
                <w:rFonts w:hint="eastAsia" w:eastAsia="仿宋_GB2312" w:cs="Times New Roman"/>
                <w:color w:val="auto"/>
                <w:kern w:val="0"/>
                <w:sz w:val="18"/>
                <w:szCs w:val="18"/>
                <w:highlight w:val="none"/>
                <w:lang w:eastAsia="zh-CN"/>
              </w:rPr>
              <w:t>实际支出资金与预算资金的比率，用以反映和考核项目的成本完成情况</w:t>
            </w:r>
          </w:p>
        </w:tc>
        <w:tc>
          <w:tcPr>
            <w:tcW w:w="2055" w:type="pct"/>
            <w:shd w:val="clear" w:color="000000" w:fill="FFFFFF"/>
            <w:vAlign w:val="center"/>
          </w:tcPr>
          <w:p w14:paraId="54F604AD">
            <w:pPr>
              <w:widowControl/>
              <w:spacing w:line="0" w:lineRule="atLeast"/>
              <w:rPr>
                <w:rFonts w:hint="eastAsia" w:ascii="Times New Roman" w:hAnsi="Times New Roman" w:eastAsia="仿宋_GB2312" w:cs="Times New Roman"/>
                <w:color w:val="auto"/>
                <w:kern w:val="0"/>
                <w:sz w:val="18"/>
                <w:szCs w:val="18"/>
                <w:highlight w:val="none"/>
                <w:lang w:eastAsia="zh-CN"/>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w:t>
            </w:r>
            <w:r>
              <w:rPr>
                <w:rFonts w:hint="eastAsia" w:eastAsia="仿宋_GB2312" w:cs="Times New Roman"/>
                <w:color w:val="auto"/>
                <w:kern w:val="0"/>
                <w:sz w:val="18"/>
                <w:szCs w:val="18"/>
                <w:highlight w:val="none"/>
                <w:lang w:eastAsia="zh-CN"/>
              </w:rPr>
              <w:t>完成</w:t>
            </w:r>
            <w:r>
              <w:rPr>
                <w:rFonts w:hint="default" w:ascii="Times New Roman" w:hAnsi="Times New Roman" w:eastAsia="仿宋_GB2312" w:cs="Times New Roman"/>
                <w:color w:val="auto"/>
                <w:kern w:val="0"/>
                <w:sz w:val="18"/>
                <w:szCs w:val="18"/>
                <w:highlight w:val="none"/>
              </w:rPr>
              <w:t>率=[</w:t>
            </w:r>
            <w:r>
              <w:rPr>
                <w:rFonts w:hint="eastAsia" w:eastAsia="仿宋_GB2312" w:cs="Times New Roman"/>
                <w:color w:val="auto"/>
                <w:kern w:val="0"/>
                <w:sz w:val="18"/>
                <w:szCs w:val="18"/>
                <w:highlight w:val="none"/>
                <w:lang w:eastAsia="zh-CN"/>
              </w:rPr>
              <w:t>实际支出资金</w:t>
            </w:r>
            <w:r>
              <w:rPr>
                <w:rFonts w:hint="default" w:ascii="Times New Roman" w:hAnsi="Times New Roman" w:eastAsia="仿宋_GB2312" w:cs="Times New Roman"/>
                <w:color w:val="auto"/>
                <w:kern w:val="0"/>
                <w:sz w:val="18"/>
                <w:szCs w:val="18"/>
                <w:highlight w:val="none"/>
              </w:rPr>
              <w:t>/</w:t>
            </w:r>
            <w:r>
              <w:rPr>
                <w:rFonts w:hint="eastAsia" w:eastAsia="仿宋_GB2312" w:cs="Times New Roman"/>
                <w:color w:val="auto"/>
                <w:kern w:val="0"/>
                <w:sz w:val="18"/>
                <w:szCs w:val="18"/>
                <w:highlight w:val="none"/>
                <w:lang w:eastAsia="zh-CN"/>
              </w:rPr>
              <w:t>预算资金</w:t>
            </w:r>
            <w:r>
              <w:rPr>
                <w:rFonts w:hint="default" w:ascii="Times New Roman" w:hAnsi="Times New Roman" w:eastAsia="仿宋_GB2312" w:cs="Times New Roman"/>
                <w:color w:val="auto"/>
                <w:kern w:val="0"/>
                <w:sz w:val="18"/>
                <w:szCs w:val="18"/>
                <w:highlight w:val="none"/>
              </w:rPr>
              <w:t>]×100%。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w:t>
            </w:r>
            <w:r>
              <w:rPr>
                <w:rFonts w:hint="eastAsia" w:eastAsia="仿宋_GB2312" w:cs="Times New Roman"/>
                <w:color w:val="auto"/>
                <w:kern w:val="0"/>
                <w:sz w:val="18"/>
                <w:szCs w:val="18"/>
                <w:highlight w:val="none"/>
                <w:lang w:eastAsia="zh-CN"/>
              </w:rPr>
              <w:t>支出资金</w:t>
            </w:r>
            <w:r>
              <w:rPr>
                <w:rFonts w:hint="default" w:ascii="Times New Roman" w:hAnsi="Times New Roman" w:eastAsia="仿宋_GB2312" w:cs="Times New Roman"/>
                <w:color w:val="auto"/>
                <w:kern w:val="0"/>
                <w:sz w:val="18"/>
                <w:szCs w:val="18"/>
                <w:highlight w:val="none"/>
              </w:rPr>
              <w:t>：</w:t>
            </w:r>
            <w:r>
              <w:rPr>
                <w:rFonts w:hint="eastAsia" w:eastAsia="仿宋_GB2312" w:cs="Times New Roman"/>
                <w:color w:val="auto"/>
                <w:kern w:val="0"/>
                <w:sz w:val="18"/>
                <w:szCs w:val="18"/>
                <w:highlight w:val="none"/>
                <w:lang w:eastAsia="zh-CN"/>
              </w:rPr>
              <w:t>一定时期（本年度或项目期）内项目实际拨付的资金。</w:t>
            </w:r>
          </w:p>
        </w:tc>
        <w:tc>
          <w:tcPr>
            <w:tcW w:w="512" w:type="pct"/>
            <w:shd w:val="clear" w:color="000000" w:fill="FFFFFF"/>
            <w:vAlign w:val="center"/>
          </w:tcPr>
          <w:p w14:paraId="036DE0E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741D0A4B">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6B6177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3FEADDF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14:paraId="5A462C4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57E2AF29">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5AF2C03B">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14:paraId="5F1BF25B">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3375C9C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14:paraId="3405CB9F">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14:paraId="01198B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4C56FDE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44128F9">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DDD8AD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14:paraId="4348FAA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14:paraId="0A7EFDF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4261EB7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AC42D31">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14:paraId="77EBFF27">
      <w:pPr>
        <w:spacing w:line="600" w:lineRule="exact"/>
        <w:rPr>
          <w:rFonts w:hint="eastAsia" w:ascii="Times New Roman" w:hAnsi="Times New Roman" w:eastAsia="黑体" w:cs="Times New Roman"/>
          <w:color w:val="auto"/>
          <w:sz w:val="32"/>
          <w:szCs w:val="32"/>
          <w:highlight w:val="none"/>
          <w:lang w:val="en-US" w:eastAsia="zh-CN"/>
        </w:rPr>
      </w:pPr>
    </w:p>
    <w:p w14:paraId="2D8BADCF">
      <w:pPr>
        <w:spacing w:line="600" w:lineRule="exact"/>
        <w:rPr>
          <w:rFonts w:hint="eastAsia" w:ascii="Times New Roman" w:hAnsi="Times New Roman" w:eastAsia="黑体" w:cs="Times New Roman"/>
          <w:color w:val="auto"/>
          <w:sz w:val="32"/>
          <w:szCs w:val="32"/>
          <w:highlight w:val="none"/>
          <w:lang w:val="en-US" w:eastAsia="zh-CN"/>
        </w:rPr>
      </w:pPr>
    </w:p>
    <w:p w14:paraId="0D8DF24D">
      <w:pPr>
        <w:spacing w:line="600" w:lineRule="exact"/>
        <w:rPr>
          <w:rFonts w:hint="eastAsia" w:ascii="Times New Roman" w:hAnsi="Times New Roman" w:eastAsia="黑体" w:cs="Times New Roman"/>
          <w:color w:val="auto"/>
          <w:sz w:val="32"/>
          <w:szCs w:val="32"/>
          <w:highlight w:val="none"/>
          <w:lang w:val="en-US" w:eastAsia="zh-CN"/>
        </w:rPr>
      </w:pPr>
    </w:p>
    <w:p w14:paraId="14757AB1">
      <w:pPr>
        <w:spacing w:line="600" w:lineRule="exact"/>
        <w:rPr>
          <w:rFonts w:hint="eastAsia" w:ascii="Times New Roman" w:hAnsi="Times New Roman" w:eastAsia="黑体" w:cs="Times New Roman"/>
          <w:color w:val="auto"/>
          <w:sz w:val="32"/>
          <w:szCs w:val="32"/>
          <w:highlight w:val="none"/>
          <w:lang w:val="en-US" w:eastAsia="zh-CN"/>
        </w:rPr>
      </w:pPr>
    </w:p>
    <w:p w14:paraId="2506495B">
      <w:pPr>
        <w:spacing w:line="600" w:lineRule="exact"/>
        <w:rPr>
          <w:rFonts w:hint="eastAsia" w:ascii="Times New Roman" w:hAnsi="Times New Roman" w:eastAsia="黑体" w:cs="Times New Roman"/>
          <w:color w:val="auto"/>
          <w:sz w:val="32"/>
          <w:szCs w:val="32"/>
          <w:highlight w:val="none"/>
          <w:lang w:val="en-US" w:eastAsia="zh-CN"/>
        </w:rPr>
      </w:pPr>
    </w:p>
    <w:p w14:paraId="675C40A6">
      <w:pPr>
        <w:spacing w:line="600" w:lineRule="exact"/>
        <w:rPr>
          <w:rFonts w:hint="eastAsia" w:ascii="Times New Roman" w:hAnsi="Times New Roman" w:eastAsia="黑体" w:cs="Times New Roman"/>
          <w:color w:val="auto"/>
          <w:sz w:val="32"/>
          <w:szCs w:val="32"/>
          <w:highlight w:val="none"/>
          <w:lang w:val="en-US" w:eastAsia="zh-CN"/>
        </w:rPr>
      </w:pPr>
    </w:p>
    <w:p w14:paraId="4C5830C1">
      <w:pPr>
        <w:spacing w:line="600" w:lineRule="exact"/>
        <w:rPr>
          <w:rFonts w:hint="eastAsia" w:ascii="Times New Roman" w:hAnsi="Times New Roman" w:eastAsia="黑体" w:cs="Times New Roman"/>
          <w:color w:val="auto"/>
          <w:sz w:val="32"/>
          <w:szCs w:val="32"/>
          <w:highlight w:val="none"/>
          <w:lang w:val="en-US" w:eastAsia="zh-CN"/>
        </w:rPr>
      </w:pPr>
    </w:p>
    <w:p w14:paraId="54F8AB5F">
      <w:pPr>
        <w:spacing w:line="600" w:lineRule="exact"/>
        <w:rPr>
          <w:rFonts w:hint="eastAsia" w:ascii="Times New Roman" w:hAnsi="Times New Roman" w:eastAsia="黑体" w:cs="Times New Roman"/>
          <w:color w:val="auto"/>
          <w:sz w:val="32"/>
          <w:szCs w:val="32"/>
          <w:highlight w:val="none"/>
          <w:lang w:val="en-US" w:eastAsia="zh-CN"/>
        </w:rPr>
      </w:pPr>
    </w:p>
    <w:p w14:paraId="572F2D69">
      <w:pPr>
        <w:spacing w:line="600" w:lineRule="exact"/>
        <w:rPr>
          <w:rFonts w:hint="eastAsia" w:ascii="Times New Roman" w:hAnsi="Times New Roman" w:eastAsia="黑体" w:cs="Times New Roman"/>
          <w:color w:val="auto"/>
          <w:sz w:val="32"/>
          <w:szCs w:val="32"/>
          <w:highlight w:val="none"/>
          <w:lang w:val="en-US" w:eastAsia="zh-CN"/>
        </w:rPr>
      </w:pPr>
    </w:p>
    <w:p w14:paraId="71343605">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7"/>
        <w:tblpPr w:leftFromText="180" w:rightFromText="180" w:vertAnchor="text" w:horzAnchor="page" w:tblpXSpec="center" w:tblpY="562"/>
        <w:tblOverlap w:val="never"/>
        <w:tblW w:w="1387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443"/>
        <w:gridCol w:w="1425"/>
        <w:gridCol w:w="1025"/>
        <w:gridCol w:w="500"/>
        <w:gridCol w:w="650"/>
        <w:gridCol w:w="625"/>
        <w:gridCol w:w="1125"/>
        <w:gridCol w:w="1100"/>
        <w:gridCol w:w="800"/>
        <w:gridCol w:w="605"/>
        <w:gridCol w:w="1335"/>
      </w:tblGrid>
      <w:tr w14:paraId="7E0E7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jc w:val="center"/>
        </w:trPr>
        <w:tc>
          <w:tcPr>
            <w:tcW w:w="13873"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AD7816">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default" w:ascii="华文中宋" w:hAnsi="华文中宋" w:eastAsia="华文中宋" w:cs="华文中宋"/>
                <w:b/>
                <w:bCs/>
                <w:i w:val="0"/>
                <w:iCs w:val="0"/>
                <w:color w:val="000000"/>
                <w:kern w:val="0"/>
                <w:sz w:val="40"/>
                <w:szCs w:val="40"/>
                <w:highlight w:val="none"/>
                <w:u w:val="none"/>
                <w:lang w:val="en-US" w:eastAsia="zh-CN"/>
              </w:rPr>
              <w:t>项目支出绩效自评表</w:t>
            </w:r>
          </w:p>
        </w:tc>
      </w:tr>
      <w:tr w14:paraId="0ACF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3873"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7E235F4">
            <w:pPr>
              <w:keepNext w:val="0"/>
              <w:keepLines w:val="0"/>
              <w:widowControl/>
              <w:suppressLineNumbers w:val="0"/>
              <w:jc w:val="center"/>
              <w:textAlignment w:val="center"/>
              <w:rPr>
                <w:rFonts w:hint="eastAsia" w:ascii="宋体" w:hAnsi="宋体" w:eastAsia="宋体" w:cs="宋体"/>
                <w:b/>
                <w:bCs/>
                <w:i w:val="0"/>
                <w:iCs w:val="0"/>
                <w:color w:val="000000"/>
                <w:sz w:val="22"/>
                <w:szCs w:val="22"/>
                <w:highlight w:val="none"/>
                <w:u w:val="none"/>
              </w:rPr>
            </w:pPr>
            <w:r>
              <w:rPr>
                <w:rFonts w:hint="eastAsia" w:ascii="宋体" w:hAnsi="宋体" w:eastAsia="宋体" w:cs="宋体"/>
                <w:b/>
                <w:bCs/>
                <w:i w:val="0"/>
                <w:iCs w:val="0"/>
                <w:color w:val="000000"/>
                <w:kern w:val="0"/>
                <w:sz w:val="22"/>
                <w:szCs w:val="22"/>
                <w:highlight w:val="none"/>
                <w:u w:val="none"/>
                <w:lang w:val="en-US" w:eastAsia="zh-CN"/>
              </w:rPr>
              <w:t>(2024年度)</w:t>
            </w:r>
          </w:p>
        </w:tc>
      </w:tr>
      <w:tr w14:paraId="756C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DAA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项目名称</w:t>
            </w:r>
          </w:p>
        </w:tc>
        <w:tc>
          <w:tcPr>
            <w:tcW w:w="11713"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14:paraId="16873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2024年</w:t>
            </w:r>
            <w:r>
              <w:rPr>
                <w:rFonts w:hint="eastAsia" w:ascii="宋体" w:hAnsi="宋体" w:cs="宋体"/>
                <w:i w:val="0"/>
                <w:iCs w:val="0"/>
                <w:color w:val="000000"/>
                <w:kern w:val="0"/>
                <w:sz w:val="18"/>
                <w:szCs w:val="18"/>
                <w:highlight w:val="none"/>
                <w:u w:val="none"/>
                <w:lang w:val="en-US" w:eastAsia="zh-CN"/>
              </w:rPr>
              <w:t>2024年博湖县查干诺尔乡乌腾郭楞村美丽乡村建设试点项目</w:t>
            </w:r>
          </w:p>
        </w:tc>
      </w:tr>
      <w:tr w14:paraId="2C2CE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721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主管部门</w:t>
            </w:r>
          </w:p>
        </w:tc>
        <w:tc>
          <w:tcPr>
            <w:tcW w:w="547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BD3FC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博湖县查干诺尔乡人民政府</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0A4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实施单位</w:t>
            </w:r>
          </w:p>
        </w:tc>
        <w:tc>
          <w:tcPr>
            <w:tcW w:w="496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2183C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博湖县查干诺尔乡人民政府</w:t>
            </w:r>
          </w:p>
        </w:tc>
      </w:tr>
      <w:tr w14:paraId="0542C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138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（万元）</w:t>
            </w:r>
          </w:p>
        </w:tc>
        <w:tc>
          <w:tcPr>
            <w:tcW w:w="25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86A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资金来源</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7B46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年初预算数</w:t>
            </w:r>
          </w:p>
        </w:tc>
        <w:tc>
          <w:tcPr>
            <w:tcW w:w="15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0FD5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全年预算数</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862B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全年执行数</w:t>
            </w:r>
          </w:p>
        </w:tc>
        <w:tc>
          <w:tcPr>
            <w:tcW w:w="22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DC89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分值权重</w:t>
            </w:r>
          </w:p>
        </w:tc>
        <w:tc>
          <w:tcPr>
            <w:tcW w:w="14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17ED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执行率</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0C2D0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得分</w:t>
            </w:r>
          </w:p>
        </w:tc>
      </w:tr>
      <w:tr w14:paraId="7165E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21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1C972D9">
            <w:pPr>
              <w:jc w:val="center"/>
              <w:rPr>
                <w:rFonts w:hint="eastAsia" w:ascii="宋体" w:hAnsi="宋体" w:eastAsia="宋体" w:cs="宋体"/>
                <w:i w:val="0"/>
                <w:iCs w:val="0"/>
                <w:color w:val="000000"/>
                <w:sz w:val="18"/>
                <w:szCs w:val="18"/>
                <w:highlight w:val="none"/>
                <w:u w:val="none"/>
              </w:rPr>
            </w:pPr>
          </w:p>
        </w:tc>
        <w:tc>
          <w:tcPr>
            <w:tcW w:w="25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DC3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年度资金总额</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DEF6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200</w:t>
            </w:r>
          </w:p>
        </w:tc>
        <w:tc>
          <w:tcPr>
            <w:tcW w:w="15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6DE3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158.7</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383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158.70</w:t>
            </w:r>
          </w:p>
        </w:tc>
        <w:tc>
          <w:tcPr>
            <w:tcW w:w="22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CB76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14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690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03EB12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10.00</w:t>
            </w:r>
          </w:p>
        </w:tc>
      </w:tr>
      <w:tr w14:paraId="4722F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1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663DE0">
            <w:pPr>
              <w:jc w:val="center"/>
              <w:rPr>
                <w:rFonts w:hint="eastAsia" w:ascii="宋体" w:hAnsi="宋体" w:eastAsia="宋体" w:cs="宋体"/>
                <w:i w:val="0"/>
                <w:iCs w:val="0"/>
                <w:color w:val="000000"/>
                <w:sz w:val="18"/>
                <w:szCs w:val="18"/>
                <w:highlight w:val="none"/>
                <w:u w:val="none"/>
              </w:rPr>
            </w:pPr>
          </w:p>
        </w:tc>
        <w:tc>
          <w:tcPr>
            <w:tcW w:w="25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196D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其中：当年财政拨款</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7F03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200</w:t>
            </w:r>
          </w:p>
        </w:tc>
        <w:tc>
          <w:tcPr>
            <w:tcW w:w="15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46C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158.7</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764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158.7</w:t>
            </w:r>
          </w:p>
        </w:tc>
        <w:tc>
          <w:tcPr>
            <w:tcW w:w="22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C67D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7A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C06B9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37116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2160"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96018E">
            <w:pPr>
              <w:jc w:val="center"/>
              <w:rPr>
                <w:rFonts w:hint="eastAsia" w:ascii="宋体" w:hAnsi="宋体" w:eastAsia="宋体" w:cs="宋体"/>
                <w:i w:val="0"/>
                <w:iCs w:val="0"/>
                <w:color w:val="000000"/>
                <w:sz w:val="18"/>
                <w:szCs w:val="18"/>
                <w:highlight w:val="none"/>
                <w:u w:val="none"/>
              </w:rPr>
            </w:pPr>
          </w:p>
        </w:tc>
        <w:tc>
          <w:tcPr>
            <w:tcW w:w="25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1698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其他资金</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7C21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5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F5E2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2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9A03E2">
            <w:pPr>
              <w:jc w:val="center"/>
              <w:rPr>
                <w:rFonts w:hint="eastAsia" w:ascii="宋体" w:hAnsi="宋体" w:eastAsia="宋体" w:cs="宋体"/>
                <w:i w:val="0"/>
                <w:iCs w:val="0"/>
                <w:color w:val="000000"/>
                <w:sz w:val="18"/>
                <w:szCs w:val="18"/>
                <w:highlight w:val="none"/>
                <w:u w:val="none"/>
              </w:rPr>
            </w:pPr>
          </w:p>
        </w:tc>
        <w:tc>
          <w:tcPr>
            <w:tcW w:w="22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A2B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0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868B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71344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r>
      <w:tr w14:paraId="28432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956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年度总体目标</w:t>
            </w:r>
          </w:p>
        </w:tc>
        <w:tc>
          <w:tcPr>
            <w:tcW w:w="78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7627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w:t>
            </w:r>
          </w:p>
        </w:tc>
        <w:tc>
          <w:tcPr>
            <w:tcW w:w="496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8D43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总体目标完成情况</w:t>
            </w:r>
          </w:p>
        </w:tc>
      </w:tr>
      <w:tr w14:paraId="6110F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D11994">
            <w:pPr>
              <w:jc w:val="center"/>
              <w:rPr>
                <w:rFonts w:hint="eastAsia" w:ascii="宋体" w:hAnsi="宋体" w:eastAsia="宋体" w:cs="宋体"/>
                <w:i w:val="0"/>
                <w:iCs w:val="0"/>
                <w:color w:val="000000"/>
                <w:sz w:val="18"/>
                <w:szCs w:val="18"/>
                <w:highlight w:val="none"/>
                <w:u w:val="none"/>
              </w:rPr>
            </w:pPr>
          </w:p>
        </w:tc>
        <w:tc>
          <w:tcPr>
            <w:tcW w:w="78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789A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照《自治区农村人居环境整治三年行动实施方案》要求，通过新建围栏5543米，公共基础设施建设维护，新建供水井4座、检修1座，新建检修供水管网900米，公共区域地面硬化5593平方米，加快改善村庄设施条件，不断提升公共服务水平，使全乡生态环境更加优良、乡村特色更加鲜明、公共服务更加配套，努力形成环境优美、生态</w:t>
            </w:r>
            <w:r>
              <w:rPr>
                <w:rFonts w:hint="eastAsia" w:ascii="宋体" w:hAnsi="宋体" w:cs="宋体"/>
                <w:i w:val="0"/>
                <w:iCs w:val="0"/>
                <w:color w:val="000000"/>
                <w:kern w:val="0"/>
                <w:sz w:val="18"/>
                <w:szCs w:val="18"/>
                <w:highlight w:val="none"/>
                <w:u w:val="none"/>
                <w:lang w:val="en-US" w:eastAsia="zh-CN"/>
              </w:rPr>
              <w:t>宜居</w:t>
            </w:r>
            <w:r>
              <w:rPr>
                <w:rFonts w:hint="eastAsia" w:ascii="宋体" w:hAnsi="宋体" w:eastAsia="宋体" w:cs="宋体"/>
                <w:i w:val="0"/>
                <w:iCs w:val="0"/>
                <w:color w:val="000000"/>
                <w:kern w:val="0"/>
                <w:sz w:val="18"/>
                <w:szCs w:val="18"/>
                <w:highlight w:val="none"/>
                <w:u w:val="none"/>
                <w:lang w:val="en-US" w:eastAsia="zh-CN"/>
              </w:rPr>
              <w:t>、特色鲜明的乡村面貌，推动城乡发展一体化，加快建设美丽乡村。</w:t>
            </w:r>
          </w:p>
        </w:tc>
        <w:tc>
          <w:tcPr>
            <w:tcW w:w="496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010C8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2024年度已完成新建围栏5543米，新建供水井4座、检修1座，新建检修供水管网900米，公共区域地面硬化5593平方米，改善了村庄基础设施条件，提升了群众生产生活水平，为打造宜居乡村奠定了基础。</w:t>
            </w:r>
          </w:p>
        </w:tc>
      </w:tr>
      <w:tr w14:paraId="45C3F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jc w:val="center"/>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98A940F">
            <w:pPr>
              <w:jc w:val="center"/>
              <w:rPr>
                <w:rFonts w:hint="eastAsia" w:ascii="宋体" w:hAnsi="宋体" w:eastAsia="宋体" w:cs="宋体"/>
                <w:i w:val="0"/>
                <w:iCs w:val="0"/>
                <w:color w:val="000000"/>
                <w:sz w:val="18"/>
                <w:szCs w:val="18"/>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79BD2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一级指标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0B759A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二级指标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68F5F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三级指标</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6542F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E96C7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指标值设置依据</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35999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上年完成值</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90F58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指标分值权重</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05D8A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指标赋分规则</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17CE1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佐证资料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B677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指标实际完成值</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51C4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完成率</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5AF0B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指标得分</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3F090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偏差原因分析及改进措施</w:t>
            </w:r>
          </w:p>
        </w:tc>
      </w:tr>
      <w:tr w14:paraId="73C12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B4056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年度绩效指标完成情况</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98DE6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产出指标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BCCD32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4827FA0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新建围栏长度</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A2BC62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&gt;=5543米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F9AB0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66557A6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A78B7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7A41F6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0E3B01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1538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=5543米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44326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29F22A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4C1E788">
            <w:pPr>
              <w:jc w:val="center"/>
              <w:rPr>
                <w:rFonts w:hint="eastAsia" w:ascii="宋体" w:hAnsi="宋体" w:eastAsia="宋体" w:cs="宋体"/>
                <w:i w:val="0"/>
                <w:iCs w:val="0"/>
                <w:color w:val="000000"/>
                <w:sz w:val="18"/>
                <w:szCs w:val="18"/>
                <w:highlight w:val="none"/>
                <w:u w:val="none"/>
              </w:rPr>
            </w:pPr>
          </w:p>
        </w:tc>
      </w:tr>
      <w:tr w14:paraId="6E526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A34F17">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0AFA12">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293E02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710A7F3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新建供水井数量</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1BC28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&gt;=4个</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29E137C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71AAC36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04BC0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11BAAFF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75904B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63E97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=4个</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5AA53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729210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12C55DFE">
            <w:pPr>
              <w:jc w:val="center"/>
              <w:rPr>
                <w:rFonts w:hint="eastAsia" w:ascii="宋体" w:hAnsi="宋体" w:eastAsia="宋体" w:cs="宋体"/>
                <w:i w:val="0"/>
                <w:iCs w:val="0"/>
                <w:color w:val="000000"/>
                <w:sz w:val="18"/>
                <w:szCs w:val="18"/>
                <w:highlight w:val="none"/>
                <w:u w:val="none"/>
              </w:rPr>
            </w:pPr>
          </w:p>
        </w:tc>
      </w:tr>
      <w:tr w14:paraId="01B24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7D37973">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302E96">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3B037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546779C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检修供水井数量</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7DBC7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&gt;=1座</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1024EC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612AFA8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446EA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49B6AA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7517F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34523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=1座</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3E31A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36B22C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E2155DD">
            <w:pPr>
              <w:jc w:val="center"/>
              <w:rPr>
                <w:rFonts w:hint="eastAsia" w:ascii="宋体" w:hAnsi="宋体" w:eastAsia="宋体" w:cs="宋体"/>
                <w:i w:val="0"/>
                <w:iCs w:val="0"/>
                <w:color w:val="000000"/>
                <w:sz w:val="18"/>
                <w:szCs w:val="18"/>
                <w:highlight w:val="none"/>
                <w:u w:val="none"/>
              </w:rPr>
            </w:pPr>
          </w:p>
        </w:tc>
      </w:tr>
      <w:tr w14:paraId="2B008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21CA49">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40B5C4">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0471FF0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18BC572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新建检修供水管网长度</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8F85CB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&gt;=900米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9AA3F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1B1C64C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60A5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315CB7A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929226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889C8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=900米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EF12A1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10E20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075756EC">
            <w:pPr>
              <w:jc w:val="center"/>
              <w:rPr>
                <w:rFonts w:hint="eastAsia" w:ascii="宋体" w:hAnsi="宋体" w:eastAsia="宋体" w:cs="宋体"/>
                <w:i w:val="0"/>
                <w:iCs w:val="0"/>
                <w:color w:val="000000"/>
                <w:sz w:val="18"/>
                <w:szCs w:val="18"/>
                <w:highlight w:val="none"/>
                <w:u w:val="none"/>
              </w:rPr>
            </w:pPr>
          </w:p>
        </w:tc>
      </w:tr>
      <w:tr w14:paraId="57FD4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90230A">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196A78">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10AC491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3C6050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公共区域地面硬化面积</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7B1EAF5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&gt;=5593平方米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98DABE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289034A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038C37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110221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255F076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A3F4A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=5593平方米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F2004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70C37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4744304">
            <w:pPr>
              <w:jc w:val="center"/>
              <w:rPr>
                <w:rFonts w:hint="eastAsia" w:ascii="宋体" w:hAnsi="宋体" w:eastAsia="宋体" w:cs="宋体"/>
                <w:i w:val="0"/>
                <w:iCs w:val="0"/>
                <w:color w:val="000000"/>
                <w:sz w:val="18"/>
                <w:szCs w:val="18"/>
                <w:highlight w:val="none"/>
                <w:u w:val="none"/>
              </w:rPr>
            </w:pPr>
          </w:p>
        </w:tc>
      </w:tr>
      <w:tr w14:paraId="12E7F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3DE169">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4CA7A6">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2C1E8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数量指标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08443CA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支持村内公益设施建设数量</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8E6E77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&gt;=5个</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2E9E6A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488A76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3B0E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2CC32E0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3775F3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9FDCB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=5个</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B1737C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261AE2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A46F926">
            <w:pPr>
              <w:jc w:val="center"/>
              <w:rPr>
                <w:rFonts w:hint="eastAsia" w:ascii="宋体" w:hAnsi="宋体" w:eastAsia="宋体" w:cs="宋体"/>
                <w:i w:val="0"/>
                <w:iCs w:val="0"/>
                <w:color w:val="000000"/>
                <w:sz w:val="18"/>
                <w:szCs w:val="18"/>
                <w:highlight w:val="none"/>
                <w:u w:val="none"/>
              </w:rPr>
            </w:pPr>
          </w:p>
        </w:tc>
      </w:tr>
      <w:tr w14:paraId="17E3B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5BA7C1">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21A1CD5">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84F0EA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质量指标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02F8B8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工程验收合格率</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26B054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1BABB1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5D56D95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2FC7F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37CEF81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415611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BD98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A1847A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152F3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01507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偏差原因：项目</w:t>
            </w:r>
            <w:bookmarkStart w:id="11" w:name="_GoBack"/>
            <w:r>
              <w:rPr>
                <w:rFonts w:hint="eastAsia" w:ascii="宋体" w:hAnsi="宋体" w:eastAsia="宋体" w:cs="宋体"/>
                <w:i w:val="0"/>
                <w:iCs w:val="0"/>
                <w:color w:val="000000"/>
                <w:kern w:val="0"/>
                <w:sz w:val="18"/>
                <w:szCs w:val="18"/>
                <w:highlight w:val="none"/>
                <w:u w:val="none"/>
                <w:lang w:val="en-US" w:eastAsia="zh-CN"/>
              </w:rPr>
              <w:t>未</w:t>
            </w:r>
            <w:bookmarkEnd w:id="11"/>
            <w:r>
              <w:rPr>
                <w:rFonts w:hint="eastAsia" w:ascii="宋体" w:hAnsi="宋体" w:eastAsia="宋体" w:cs="宋体"/>
                <w:i w:val="0"/>
                <w:iCs w:val="0"/>
                <w:color w:val="000000"/>
                <w:kern w:val="0"/>
                <w:sz w:val="18"/>
                <w:szCs w:val="18"/>
                <w:highlight w:val="none"/>
                <w:u w:val="none"/>
                <w:lang w:val="en-US" w:eastAsia="zh-CN"/>
              </w:rPr>
              <w:t>竣工验收；改进措施：统筹安排项目施工进度，确保项目尽快竣工验收。</w:t>
            </w:r>
          </w:p>
        </w:tc>
      </w:tr>
      <w:tr w14:paraId="33E1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5FC3E8">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35DF12">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066D390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6D95A3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项目开工时间</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8014C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2024年3月30日</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966586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4CD1AC3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7E38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3775227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直接赋分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4CA105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C21FB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2024年4月25日</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9EBA97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4C4FEB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A1BBF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偏差原因：前期手续办理滞后；改进措施：加快前期办理进度，确保项目按计划开工、按时完工。</w:t>
            </w:r>
          </w:p>
        </w:tc>
      </w:tr>
      <w:tr w14:paraId="08866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04C9F4">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75EBF5">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CBBB02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644077E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项目完成时间</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0B2347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2024年10月30日</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617C5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73134B3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2CAA64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660590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直接赋分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5B5885A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35917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未完工</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171B40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674D0E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51522B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偏差原因：实施过程不够连贯，导致不能按计划完工；改进措施：统筹安排项目施工进度，确保项目按时完工</w:t>
            </w:r>
          </w:p>
        </w:tc>
      </w:tr>
      <w:tr w14:paraId="22D58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C9B1550">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0F7338E">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EC514F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时效指标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736EC9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资金下达及时率</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BBF73A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EAA4E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2EBF62D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E376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76233C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C2D24C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CE6F9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087B03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07A322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130357E">
            <w:pPr>
              <w:jc w:val="center"/>
              <w:rPr>
                <w:rFonts w:hint="eastAsia" w:ascii="宋体" w:hAnsi="宋体" w:eastAsia="宋体" w:cs="宋体"/>
                <w:i w:val="0"/>
                <w:iCs w:val="0"/>
                <w:color w:val="000000"/>
                <w:sz w:val="18"/>
                <w:szCs w:val="18"/>
                <w:highlight w:val="none"/>
                <w:u w:val="none"/>
              </w:rPr>
            </w:pPr>
          </w:p>
        </w:tc>
      </w:tr>
      <w:tr w14:paraId="606AF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DE9FE0">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2D84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成本指标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810861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494C862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新建围栏成本</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4C570A8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&lt;=120元/米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1D719D0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50B1010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AA440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7C9C6AD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3856E5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2FF2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=120元/米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6992A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4EF244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98245E9">
            <w:pPr>
              <w:jc w:val="center"/>
              <w:rPr>
                <w:rFonts w:hint="eastAsia" w:ascii="宋体" w:hAnsi="宋体" w:eastAsia="宋体" w:cs="宋体"/>
                <w:i w:val="0"/>
                <w:iCs w:val="0"/>
                <w:color w:val="000000"/>
                <w:sz w:val="18"/>
                <w:szCs w:val="18"/>
                <w:highlight w:val="none"/>
                <w:u w:val="none"/>
              </w:rPr>
            </w:pPr>
          </w:p>
        </w:tc>
      </w:tr>
      <w:tr w14:paraId="7572F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F548AD">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6D314A">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CA40B1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1C512A6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新建供水井成本</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6021CE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&lt;=1.10万元/座</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725EED4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38ED0E7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111C1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1BA38A9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719972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96255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=1.1万元/座</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FF499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29334C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8494522">
            <w:pPr>
              <w:jc w:val="center"/>
              <w:rPr>
                <w:rFonts w:hint="eastAsia" w:ascii="宋体" w:hAnsi="宋体" w:eastAsia="宋体" w:cs="宋体"/>
                <w:i w:val="0"/>
                <w:iCs w:val="0"/>
                <w:color w:val="000000"/>
                <w:sz w:val="18"/>
                <w:szCs w:val="18"/>
                <w:highlight w:val="none"/>
                <w:u w:val="none"/>
              </w:rPr>
            </w:pPr>
          </w:p>
        </w:tc>
      </w:tr>
      <w:tr w14:paraId="7AFFE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6FC53C">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B0E8C1">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6309C33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4383E6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检修供水井成本</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9DC6B6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&lt;=0.5万元/座</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20D64A1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45460E4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777D2C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26E961E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49D3DC8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10BF76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=0.5万元/座</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5E8AE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1829A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0D62991">
            <w:pPr>
              <w:jc w:val="center"/>
              <w:rPr>
                <w:rFonts w:hint="eastAsia" w:ascii="宋体" w:hAnsi="宋体" w:eastAsia="宋体" w:cs="宋体"/>
                <w:i w:val="0"/>
                <w:iCs w:val="0"/>
                <w:color w:val="000000"/>
                <w:sz w:val="18"/>
                <w:szCs w:val="18"/>
                <w:highlight w:val="none"/>
                <w:u w:val="none"/>
              </w:rPr>
            </w:pPr>
          </w:p>
        </w:tc>
      </w:tr>
      <w:tr w14:paraId="39BC7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BE1402">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D38A9E">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76CD0F0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31D587F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新建检修供水管网成本</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2264CD8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&lt;=99.78元/米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7BBC6D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6F47629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2E01F3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649B89F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1E210CC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3B75A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=99.78元/米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C18CB9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143A40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0943FA7">
            <w:pPr>
              <w:jc w:val="center"/>
              <w:rPr>
                <w:rFonts w:hint="eastAsia" w:ascii="宋体" w:hAnsi="宋体" w:eastAsia="宋体" w:cs="宋体"/>
                <w:i w:val="0"/>
                <w:iCs w:val="0"/>
                <w:color w:val="000000"/>
                <w:sz w:val="18"/>
                <w:szCs w:val="18"/>
                <w:highlight w:val="none"/>
                <w:u w:val="none"/>
              </w:rPr>
            </w:pPr>
          </w:p>
        </w:tc>
      </w:tr>
      <w:tr w14:paraId="3F83F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47451C">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597274">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4B7E57D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经济成本指标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543CEF9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公共区域地面硬化成本</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889DBF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&lt;=140元/平方米</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2E819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22FC9C7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0D8366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796CCC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119BF40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C6D6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=140元/平方米</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3DCAE1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100</w:t>
            </w:r>
            <w:r>
              <w:rPr>
                <w:rFonts w:hint="eastAsia" w:ascii="宋体" w:hAnsi="宋体" w:eastAsia="宋体" w:cs="宋体"/>
                <w:i w:val="0"/>
                <w:iCs w:val="0"/>
                <w:color w:val="000000"/>
                <w:kern w:val="0"/>
                <w:sz w:val="20"/>
                <w:szCs w:val="20"/>
                <w:highlight w:val="none"/>
                <w:u w:val="none"/>
                <w:lang w:val="en-US" w:eastAsia="zh-CN"/>
              </w:rPr>
              <w:t>%</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6A6816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1CE3B77">
            <w:pPr>
              <w:jc w:val="center"/>
              <w:rPr>
                <w:rFonts w:hint="eastAsia" w:ascii="宋体" w:hAnsi="宋体" w:eastAsia="宋体" w:cs="宋体"/>
                <w:i w:val="0"/>
                <w:iCs w:val="0"/>
                <w:color w:val="000000"/>
                <w:sz w:val="18"/>
                <w:szCs w:val="18"/>
                <w:highlight w:val="none"/>
                <w:u w:val="none"/>
              </w:rPr>
            </w:pPr>
          </w:p>
        </w:tc>
      </w:tr>
      <w:tr w14:paraId="6AF8C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EED437">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B594C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效益指标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389FB04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38294F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受益群众户数</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16F0116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&gt;=500户</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707CDF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1CD24C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7A4ED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33E310D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按照正常比例赋分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2BCF48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042F5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=500户</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4E0ED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100</w:t>
            </w:r>
            <w:r>
              <w:rPr>
                <w:rFonts w:hint="eastAsia" w:ascii="宋体" w:hAnsi="宋体" w:eastAsia="宋体" w:cs="宋体"/>
                <w:i w:val="0"/>
                <w:iCs w:val="0"/>
                <w:color w:val="000000"/>
                <w:kern w:val="0"/>
                <w:sz w:val="20"/>
                <w:szCs w:val="20"/>
                <w:highlight w:val="none"/>
                <w:u w:val="none"/>
                <w:lang w:val="en-US" w:eastAsia="zh-CN"/>
              </w:rPr>
              <w:t>%</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1C95B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1833F064">
            <w:pPr>
              <w:jc w:val="center"/>
              <w:rPr>
                <w:rFonts w:hint="eastAsia" w:ascii="宋体" w:hAnsi="宋体" w:eastAsia="宋体" w:cs="宋体"/>
                <w:i w:val="0"/>
                <w:iCs w:val="0"/>
                <w:color w:val="000000"/>
                <w:sz w:val="18"/>
                <w:szCs w:val="18"/>
                <w:highlight w:val="none"/>
                <w:u w:val="none"/>
              </w:rPr>
            </w:pPr>
          </w:p>
        </w:tc>
      </w:tr>
      <w:tr w14:paraId="68A21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FB5755">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9A51B5">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51FEF38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社会效益指标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524C24C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农村公益事业滚动项目库</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05BA5D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基本建立</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5B82BB2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489AFA8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638E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7</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601EF1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3B433D8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2E8F8D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基本建立</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61F3CE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07EC91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7</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1AFE32A2">
            <w:pPr>
              <w:jc w:val="center"/>
              <w:rPr>
                <w:rFonts w:hint="eastAsia" w:ascii="宋体" w:hAnsi="宋体" w:eastAsia="宋体" w:cs="宋体"/>
                <w:i w:val="0"/>
                <w:iCs w:val="0"/>
                <w:color w:val="000000"/>
                <w:sz w:val="18"/>
                <w:szCs w:val="18"/>
                <w:highlight w:val="none"/>
                <w:u w:val="none"/>
              </w:rPr>
            </w:pPr>
          </w:p>
        </w:tc>
      </w:tr>
      <w:tr w14:paraId="6BFA6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5CD28D">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7B7716">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37EBE7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生态效益指标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5F6356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生态环境效益</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95A12D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有效改善</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A6079E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19877F4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6027B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7</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14C0EC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按评判等级赋分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7CC24A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092AFC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F731C1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100%</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42ED9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7</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662DE68">
            <w:pPr>
              <w:jc w:val="center"/>
              <w:rPr>
                <w:rFonts w:hint="eastAsia" w:ascii="宋体" w:hAnsi="宋体" w:eastAsia="宋体" w:cs="宋体"/>
                <w:i w:val="0"/>
                <w:iCs w:val="0"/>
                <w:color w:val="000000"/>
                <w:sz w:val="18"/>
                <w:szCs w:val="18"/>
                <w:highlight w:val="none"/>
                <w:u w:val="none"/>
              </w:rPr>
            </w:pPr>
          </w:p>
        </w:tc>
      </w:tr>
      <w:tr w14:paraId="73878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A4259E">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20FDC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满意度指标</w:t>
            </w: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0B21204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6E58EAC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项目区农民满意度</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300FEBF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&gt;=90%</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12D9042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2AF0D4B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2DB0E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395EFB7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4DA1872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5A1E8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92AC9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111.11</w:t>
            </w:r>
            <w:r>
              <w:rPr>
                <w:rFonts w:hint="eastAsia" w:ascii="宋体" w:hAnsi="宋体" w:eastAsia="宋体" w:cs="宋体"/>
                <w:i w:val="0"/>
                <w:iCs w:val="0"/>
                <w:color w:val="000000"/>
                <w:kern w:val="0"/>
                <w:sz w:val="20"/>
                <w:szCs w:val="20"/>
                <w:highlight w:val="none"/>
                <w:u w:val="none"/>
                <w:lang w:val="en-US" w:eastAsia="zh-CN"/>
              </w:rPr>
              <w:t>%</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32C7C8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7BCBD61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rPr>
              <w:t>偏差原因：项目区农民满意度为100%；改进措施：从严从高设置绩效指标。</w:t>
            </w:r>
          </w:p>
        </w:tc>
      </w:tr>
      <w:tr w14:paraId="56DA6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E8EF0F">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C27526">
            <w:pPr>
              <w:jc w:val="center"/>
              <w:rPr>
                <w:rFonts w:hint="eastAsia" w:ascii="宋体" w:hAnsi="宋体" w:eastAsia="宋体" w:cs="宋体"/>
                <w:i w:val="0"/>
                <w:iCs w:val="0"/>
                <w:color w:val="000000"/>
                <w:sz w:val="20"/>
                <w:szCs w:val="20"/>
                <w:highlight w:val="none"/>
                <w:u w:val="none"/>
              </w:rPr>
            </w:pPr>
          </w:p>
        </w:tc>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14:paraId="257C44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满意度指标</w:t>
            </w:r>
          </w:p>
        </w:tc>
        <w:tc>
          <w:tcPr>
            <w:tcW w:w="1443" w:type="dxa"/>
            <w:tcBorders>
              <w:top w:val="single" w:color="auto" w:sz="4" w:space="0"/>
              <w:left w:val="single" w:color="auto" w:sz="4" w:space="0"/>
              <w:bottom w:val="single" w:color="auto" w:sz="4" w:space="0"/>
              <w:right w:val="single" w:color="auto" w:sz="4" w:space="0"/>
            </w:tcBorders>
            <w:shd w:val="clear" w:color="auto" w:fill="auto"/>
            <w:vAlign w:val="center"/>
          </w:tcPr>
          <w:p w14:paraId="61B61D4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项目区基层干部满意度</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5900B22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&gt;=90%</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32AB102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计划标准</w:t>
            </w: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289F637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34A5B5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1A362A3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满意度赋分</w:t>
            </w: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7665B23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rPr>
              <w:t>工作资料</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4AA1ED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FA041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rPr>
              <w:t>111.11</w:t>
            </w:r>
            <w:r>
              <w:rPr>
                <w:rFonts w:hint="eastAsia" w:ascii="宋体" w:hAnsi="宋体" w:eastAsia="宋体" w:cs="宋体"/>
                <w:i w:val="0"/>
                <w:iCs w:val="0"/>
                <w:color w:val="000000"/>
                <w:kern w:val="0"/>
                <w:sz w:val="20"/>
                <w:szCs w:val="20"/>
                <w:highlight w:val="none"/>
                <w:u w:val="none"/>
                <w:lang w:val="en-US" w:eastAsia="zh-CN"/>
              </w:rPr>
              <w:t>%</w:t>
            </w: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6E7ED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CD0AE6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rPr>
              <w:t>偏差原因：项目区农民满意度为100%；改进措施：从严从高设置绩效指标。</w:t>
            </w:r>
          </w:p>
        </w:tc>
      </w:tr>
      <w:tr w14:paraId="2138D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468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2501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425" w:type="dxa"/>
            <w:tcBorders>
              <w:top w:val="single" w:color="auto" w:sz="4" w:space="0"/>
              <w:left w:val="single" w:color="auto" w:sz="4" w:space="0"/>
              <w:bottom w:val="single" w:color="auto" w:sz="4" w:space="0"/>
              <w:right w:val="single" w:color="auto" w:sz="4" w:space="0"/>
            </w:tcBorders>
            <w:shd w:val="clear" w:color="auto" w:fill="auto"/>
            <w:vAlign w:val="center"/>
          </w:tcPr>
          <w:p w14:paraId="604DC114">
            <w:pPr>
              <w:jc w:val="center"/>
              <w:rPr>
                <w:rFonts w:hint="eastAsia" w:ascii="宋体" w:hAnsi="宋体" w:eastAsia="宋体" w:cs="宋体"/>
                <w:i w:val="0"/>
                <w:iCs w:val="0"/>
                <w:color w:val="000000"/>
                <w:sz w:val="18"/>
                <w:szCs w:val="18"/>
                <w:highlight w:val="none"/>
                <w:u w:val="none"/>
              </w:rPr>
            </w:pP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75C02BB">
            <w:pPr>
              <w:rPr>
                <w:rFonts w:hint="eastAsia" w:ascii="宋体" w:hAnsi="宋体" w:eastAsia="宋体" w:cs="宋体"/>
                <w:b/>
                <w:bCs/>
                <w:i w:val="0"/>
                <w:iCs w:val="0"/>
                <w:color w:val="000000"/>
                <w:sz w:val="18"/>
                <w:szCs w:val="18"/>
                <w:highlight w:val="none"/>
                <w:u w:val="none"/>
              </w:rPr>
            </w:pPr>
          </w:p>
        </w:tc>
        <w:tc>
          <w:tcPr>
            <w:tcW w:w="500" w:type="dxa"/>
            <w:tcBorders>
              <w:top w:val="single" w:color="auto" w:sz="4" w:space="0"/>
              <w:left w:val="single" w:color="auto" w:sz="4" w:space="0"/>
              <w:bottom w:val="single" w:color="auto" w:sz="4" w:space="0"/>
              <w:right w:val="single" w:color="auto" w:sz="4" w:space="0"/>
            </w:tcBorders>
            <w:shd w:val="clear" w:color="auto" w:fill="auto"/>
            <w:vAlign w:val="center"/>
          </w:tcPr>
          <w:p w14:paraId="1FA891D4">
            <w:pPr>
              <w:jc w:val="center"/>
              <w:rPr>
                <w:rFonts w:hint="eastAsia" w:ascii="宋体" w:hAnsi="宋体" w:eastAsia="宋体" w:cs="宋体"/>
                <w:i w:val="0"/>
                <w:iCs w:val="0"/>
                <w:color w:val="000000"/>
                <w:sz w:val="18"/>
                <w:szCs w:val="18"/>
                <w:highlight w:val="none"/>
                <w:u w:val="none"/>
              </w:rPr>
            </w:pP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14:paraId="1DEA2136">
            <w:pPr>
              <w:jc w:val="center"/>
              <w:rPr>
                <w:rFonts w:hint="eastAsia" w:ascii="宋体" w:hAnsi="宋体" w:eastAsia="宋体" w:cs="宋体"/>
                <w:i w:val="0"/>
                <w:iCs w:val="0"/>
                <w:color w:val="000000"/>
                <w:sz w:val="18"/>
                <w:szCs w:val="18"/>
                <w:highlight w:val="none"/>
                <w:u w:val="none"/>
              </w:rPr>
            </w:pPr>
          </w:p>
        </w:tc>
        <w:tc>
          <w:tcPr>
            <w:tcW w:w="625" w:type="dxa"/>
            <w:tcBorders>
              <w:top w:val="single" w:color="auto" w:sz="4" w:space="0"/>
              <w:left w:val="single" w:color="auto" w:sz="4" w:space="0"/>
              <w:bottom w:val="single" w:color="auto" w:sz="4" w:space="0"/>
              <w:right w:val="single" w:color="auto" w:sz="4" w:space="0"/>
            </w:tcBorders>
            <w:shd w:val="clear" w:color="auto" w:fill="auto"/>
            <w:vAlign w:val="center"/>
          </w:tcPr>
          <w:p w14:paraId="26918D1B">
            <w:pPr>
              <w:jc w:val="center"/>
              <w:rPr>
                <w:rFonts w:hint="eastAsia" w:ascii="宋体" w:hAnsi="宋体" w:eastAsia="宋体" w:cs="宋体"/>
                <w:i w:val="0"/>
                <w:iCs w:val="0"/>
                <w:color w:val="000000"/>
                <w:sz w:val="18"/>
                <w:szCs w:val="18"/>
                <w:highlight w:val="none"/>
                <w:u w:val="none"/>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center"/>
          </w:tcPr>
          <w:p w14:paraId="6B4E2E7A">
            <w:pPr>
              <w:rPr>
                <w:rFonts w:hint="eastAsia" w:ascii="宋体" w:hAnsi="宋体" w:eastAsia="宋体" w:cs="宋体"/>
                <w:i w:val="0"/>
                <w:iCs w:val="0"/>
                <w:color w:val="000000"/>
                <w:sz w:val="18"/>
                <w:szCs w:val="18"/>
                <w:highlight w:val="none"/>
                <w:u w:val="none"/>
              </w:rPr>
            </w:pP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14:paraId="78C7441B">
            <w:pPr>
              <w:rPr>
                <w:rFonts w:hint="eastAsia" w:ascii="宋体" w:hAnsi="宋体" w:eastAsia="宋体" w:cs="宋体"/>
                <w:i w:val="0"/>
                <w:iCs w:val="0"/>
                <w:color w:val="000000"/>
                <w:sz w:val="18"/>
                <w:szCs w:val="18"/>
                <w:highlight w:val="none"/>
                <w:u w:val="none"/>
              </w:rPr>
            </w:pP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DC7CAD9">
            <w:pPr>
              <w:rPr>
                <w:rFonts w:hint="eastAsia" w:ascii="宋体" w:hAnsi="宋体" w:eastAsia="宋体" w:cs="宋体"/>
                <w:i w:val="0"/>
                <w:iCs w:val="0"/>
                <w:color w:val="000000"/>
                <w:sz w:val="18"/>
                <w:szCs w:val="18"/>
                <w:highlight w:val="none"/>
                <w:u w:val="none"/>
              </w:rPr>
            </w:pPr>
          </w:p>
        </w:tc>
        <w:tc>
          <w:tcPr>
            <w:tcW w:w="605" w:type="dxa"/>
            <w:tcBorders>
              <w:top w:val="single" w:color="auto" w:sz="4" w:space="0"/>
              <w:left w:val="single" w:color="auto" w:sz="4" w:space="0"/>
              <w:bottom w:val="single" w:color="auto" w:sz="4" w:space="0"/>
              <w:right w:val="single" w:color="auto" w:sz="4" w:space="0"/>
            </w:tcBorders>
            <w:shd w:val="clear" w:color="auto" w:fill="auto"/>
            <w:vAlign w:val="center"/>
          </w:tcPr>
          <w:p w14:paraId="6DC807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rPr>
              <w:t>88</w:t>
            </w:r>
            <w:r>
              <w:rPr>
                <w:rFonts w:hint="eastAsia" w:ascii="宋体" w:hAnsi="宋体" w:eastAsia="宋体" w:cs="宋体"/>
                <w:i w:val="0"/>
                <w:iCs w:val="0"/>
                <w:color w:val="000000"/>
                <w:kern w:val="0"/>
                <w:sz w:val="18"/>
                <w:szCs w:val="18"/>
                <w:highlight w:val="none"/>
                <w:u w:val="none"/>
                <w:lang w:val="en-US" w:eastAsia="zh-CN"/>
              </w:rPr>
              <w:t>.00分</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305E441">
            <w:pPr>
              <w:rPr>
                <w:rFonts w:hint="eastAsia" w:ascii="宋体" w:hAnsi="宋体" w:eastAsia="宋体" w:cs="宋体"/>
                <w:i w:val="0"/>
                <w:iCs w:val="0"/>
                <w:color w:val="000000"/>
                <w:sz w:val="18"/>
                <w:szCs w:val="18"/>
                <w:highlight w:val="none"/>
                <w:u w:val="none"/>
              </w:rPr>
            </w:pPr>
          </w:p>
        </w:tc>
      </w:tr>
    </w:tbl>
    <w:p w14:paraId="28A0A253">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F1BFA17">
        <w:pPr>
          <w:pStyle w:val="11"/>
          <w:jc w:val="center"/>
        </w:pPr>
        <w:r>
          <w:fldChar w:fldCharType="begin"/>
        </w:r>
        <w:r>
          <w:instrText xml:space="preserve">PAGE   \* MERGEFORMAT</w:instrText>
        </w:r>
        <w:r>
          <w:fldChar w:fldCharType="separate"/>
        </w:r>
        <w:r>
          <w:rPr>
            <w:lang w:val="zh-CN"/>
          </w:rPr>
          <w:t>13</w:t>
        </w:r>
        <w:r>
          <w:fldChar w:fldCharType="end"/>
        </w:r>
      </w:p>
    </w:sdtContent>
  </w:sdt>
  <w:p w14:paraId="6B9A18B5">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45572FBC"/>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9"/>
    <w:pPr>
      <w:keepNext/>
      <w:widowControl/>
      <w:spacing w:before="240" w:after="60"/>
      <w:jc w:val="left"/>
      <w:outlineLvl w:val="0"/>
    </w:pPr>
    <w:rPr>
      <w:rFonts w:ascii="Cambria" w:hAnsi="Cambria" w:eastAsia="宋体"/>
      <w:b/>
      <w:bCs/>
      <w:kern w:val="32"/>
      <w:sz w:val="32"/>
      <w:szCs w:val="32"/>
    </w:rPr>
  </w:style>
  <w:style w:type="paragraph" w:styleId="7">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2"/>
    <w:basedOn w:val="3"/>
    <w:next w:val="5"/>
    <w:qFormat/>
    <w:uiPriority w:val="99"/>
    <w:pPr>
      <w:ind w:firstLine="420" w:firstLineChars="200"/>
    </w:pPr>
    <w:rPr>
      <w:rFonts w:ascii="Calibri" w:hAnsi="Calibri" w:eastAsia="宋体"/>
      <w:szCs w:val="24"/>
    </w:rPr>
  </w:style>
  <w:style w:type="paragraph" w:customStyle="1" w:styleId="3">
    <w:name w:val="BodyTextIndent"/>
    <w:basedOn w:val="1"/>
    <w:next w:val="4"/>
    <w:qFormat/>
    <w:uiPriority w:val="99"/>
    <w:pPr>
      <w:spacing w:after="120"/>
      <w:ind w:left="420" w:leftChars="200"/>
      <w:textAlignment w:val="baseline"/>
    </w:pPr>
  </w:style>
  <w:style w:type="paragraph" w:customStyle="1" w:styleId="4">
    <w:name w:val="BodyText"/>
    <w:basedOn w:val="1"/>
    <w:qFormat/>
    <w:uiPriority w:val="99"/>
    <w:pPr>
      <w:textAlignment w:val="baseline"/>
    </w:pPr>
    <w:rPr>
      <w:rFonts w:ascii="Calibri" w:hAnsi="Calibri" w:eastAsia="方正仿宋_GBK"/>
      <w:spacing w:val="4"/>
      <w:sz w:val="31"/>
      <w:szCs w:val="31"/>
    </w:rPr>
  </w:style>
  <w:style w:type="paragraph" w:customStyle="1" w:styleId="5">
    <w:name w:val="BodyText1I"/>
    <w:basedOn w:val="4"/>
    <w:qFormat/>
    <w:uiPriority w:val="99"/>
  </w:style>
  <w:style w:type="paragraph" w:styleId="8">
    <w:name w:val="Body Text"/>
    <w:basedOn w:val="1"/>
    <w:qFormat/>
    <w:uiPriority w:val="0"/>
    <w:pPr>
      <w:spacing w:after="120"/>
    </w:pPr>
  </w:style>
  <w:style w:type="paragraph" w:styleId="9">
    <w:name w:val="Body Text Indent"/>
    <w:basedOn w:val="1"/>
    <w:qFormat/>
    <w:uiPriority w:val="0"/>
    <w:pPr>
      <w:spacing w:after="120"/>
      <w:ind w:left="420" w:leftChars="200"/>
    </w:pPr>
    <w:rPr>
      <w:rFonts w:ascii="Calibri" w:hAnsi="Calibri"/>
    </w:rPr>
  </w:style>
  <w:style w:type="paragraph" w:styleId="10">
    <w:name w:val="Balloon Text"/>
    <w:basedOn w:val="1"/>
    <w:link w:val="26"/>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8"/>
    <w:qFormat/>
    <w:uiPriority w:val="0"/>
    <w:pPr>
      <w:spacing w:after="0"/>
      <w:ind w:firstLine="200" w:firstLineChars="200"/>
    </w:pPr>
  </w:style>
  <w:style w:type="paragraph" w:styleId="16">
    <w:name w:val="Body Text First Indent 2"/>
    <w:basedOn w:val="9"/>
    <w:qFormat/>
    <w:uiPriority w:val="0"/>
    <w:pPr>
      <w:ind w:firstLine="420" w:firstLineChars="200"/>
    </w:pPr>
  </w:style>
  <w:style w:type="table" w:styleId="1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bCs/>
    </w:rPr>
  </w:style>
  <w:style w:type="paragraph" w:customStyle="1" w:styleId="21">
    <w:name w:val="Comment Text"/>
    <w:basedOn w:val="1"/>
    <w:link w:val="28"/>
    <w:qFormat/>
    <w:uiPriority w:val="0"/>
    <w:pPr>
      <w:jc w:val="left"/>
    </w:pPr>
  </w:style>
  <w:style w:type="paragraph" w:customStyle="1" w:styleId="22">
    <w:name w:val="Comment Subject"/>
    <w:basedOn w:val="21"/>
    <w:next w:val="21"/>
    <w:link w:val="29"/>
    <w:qFormat/>
    <w:uiPriority w:val="0"/>
    <w:rPr>
      <w:b/>
      <w:bCs/>
    </w:rPr>
  </w:style>
  <w:style w:type="character" w:customStyle="1" w:styleId="23">
    <w:name w:val="Comment Reference"/>
    <w:basedOn w:val="19"/>
    <w:qFormat/>
    <w:uiPriority w:val="0"/>
    <w:rPr>
      <w:sz w:val="21"/>
      <w:szCs w:val="21"/>
    </w:rPr>
  </w:style>
  <w:style w:type="character" w:customStyle="1" w:styleId="24">
    <w:name w:val="fontstyle01"/>
    <w:qFormat/>
    <w:uiPriority w:val="0"/>
    <w:rPr>
      <w:rFonts w:ascii="仿宋_GB2312" w:hAnsi="仿宋_GB2312" w:eastAsia="仿宋_GB2312" w:cs="仿宋_GB2312"/>
      <w:color w:val="000000"/>
      <w:sz w:val="32"/>
      <w:szCs w:val="32"/>
    </w:rPr>
  </w:style>
  <w:style w:type="paragraph" w:customStyle="1" w:styleId="25">
    <w:name w:val="闻政-正文段落文字"/>
    <w:basedOn w:val="1"/>
    <w:qFormat/>
    <w:uiPriority w:val="3"/>
    <w:pPr>
      <w:spacing w:line="500" w:lineRule="exact"/>
      <w:ind w:firstLine="200"/>
    </w:pPr>
    <w:rPr>
      <w:kern w:val="0"/>
      <w:szCs w:val="28"/>
    </w:rPr>
  </w:style>
  <w:style w:type="character" w:customStyle="1" w:styleId="26">
    <w:name w:val="批注框文本 字符"/>
    <w:basedOn w:val="19"/>
    <w:link w:val="10"/>
    <w:qFormat/>
    <w:uiPriority w:val="0"/>
    <w:rPr>
      <w:rFonts w:ascii="Times New Roman" w:hAnsi="Times New Roman" w:eastAsia="宋体" w:cs="Times New Roman"/>
      <w:kern w:val="2"/>
      <w:sz w:val="18"/>
      <w:szCs w:val="18"/>
    </w:rPr>
  </w:style>
  <w:style w:type="character" w:customStyle="1" w:styleId="27">
    <w:name w:val="页眉 字符"/>
    <w:basedOn w:val="19"/>
    <w:link w:val="12"/>
    <w:qFormat/>
    <w:uiPriority w:val="0"/>
    <w:rPr>
      <w:rFonts w:ascii="Times New Roman" w:hAnsi="Times New Roman" w:eastAsia="宋体" w:cs="Times New Roman"/>
      <w:kern w:val="2"/>
      <w:sz w:val="18"/>
      <w:szCs w:val="18"/>
    </w:rPr>
  </w:style>
  <w:style w:type="character" w:customStyle="1" w:styleId="28">
    <w:name w:val="批注文字 字符"/>
    <w:basedOn w:val="19"/>
    <w:link w:val="21"/>
    <w:qFormat/>
    <w:uiPriority w:val="0"/>
    <w:rPr>
      <w:rFonts w:ascii="Times New Roman" w:hAnsi="Times New Roman" w:eastAsia="宋体" w:cs="Times New Roman"/>
      <w:kern w:val="2"/>
      <w:sz w:val="21"/>
      <w:szCs w:val="24"/>
    </w:rPr>
  </w:style>
  <w:style w:type="character" w:customStyle="1" w:styleId="29">
    <w:name w:val="批注主题 字符"/>
    <w:basedOn w:val="28"/>
    <w:link w:val="22"/>
    <w:qFormat/>
    <w:uiPriority w:val="0"/>
    <w:rPr>
      <w:rFonts w:ascii="Times New Roman" w:hAnsi="Times New Roman" w:eastAsia="宋体" w:cs="Times New Roman"/>
      <w:b/>
      <w:bCs/>
      <w:kern w:val="2"/>
      <w:sz w:val="21"/>
      <w:szCs w:val="24"/>
    </w:rPr>
  </w:style>
  <w:style w:type="character" w:customStyle="1" w:styleId="30">
    <w:name w:val="NormalCharacter"/>
    <w:qFormat/>
    <w:uiPriority w:val="0"/>
  </w:style>
  <w:style w:type="paragraph" w:customStyle="1" w:styleId="31">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6F92424AED3E4681A74CF73076F704F0</vt:lpwstr>
  </property>
  <property fmtid="{D5CDD505-2E9C-101B-9397-08002B2CF9AE}" pid="4" name="KSOTemplateDocerSaveRecord">
    <vt:lpwstr>eyJoZGlkIjoiY2I5MWRjOGMyYWZhMTI0NDMwZGMxM2JmNWNiOTc3OWYiLCJ1c2VySWQiOiIyNTU2ODg3NjYifQ==</vt:lpwstr>
  </property>
</Properties>
</file>

<file path=customXml/itemProps1.xml><?xml version="1.0" encoding="utf-8"?>
<ds:datastoreItem xmlns:ds="http://schemas.openxmlformats.org/officeDocument/2006/customXml" ds:itemID="{8a939e46-f9f7-478c-a389-cd4c9315fcf1}">
  <ds:schemaRefs/>
</ds:datastoreItem>
</file>

<file path=docProps/app.xml><?xml version="1.0" encoding="utf-8"?>
<Properties xmlns="http://schemas.openxmlformats.org/officeDocument/2006/extended-properties" xmlns:vt="http://schemas.openxmlformats.org/officeDocument/2006/docPropsVTypes">
  <Template>Normal</Template>
  <Pages>34</Pages>
  <Words>11310</Words>
  <Characters>11799</Characters>
  <Lines>58</Lines>
  <Paragraphs>16</Paragraphs>
  <TotalTime>51</TotalTime>
  <ScaleCrop>false</ScaleCrop>
  <LinksUpToDate>false</LinksUpToDate>
  <CharactersWithSpaces>11815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2025-09-25T02:46:33Z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6F92424AED3E4681A74CF73076F704F0</vt:lpwstr>
  </property>
  <property fmtid="{D5CDD505-2E9C-101B-9397-08002B2CF9AE}" pid="4" name="KSOTemplateDocerSaveRecord">
    <vt:lpwstr>eyJoZGlkIjoiN2E1ZDY0MDI5MTE3YjM0ZGMyMzg4N2EwMDI4ZjJiM2YiLCJ1c2VySWQiOiIyNTk4NTcxMjUifQ==</vt:lpwstr>
  </property>
</Properties>
</file>