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3C7F5"/>
    <w:p w14:paraId="5184E37B">
      <w:pPr>
        <w:spacing w:line="540" w:lineRule="exact"/>
        <w:jc w:val="center"/>
        <w:rPr>
          <w:rFonts w:hint="default" w:ascii="Times New Roman" w:hAnsi="Times New Roman" w:eastAsia="华文中宋" w:cs="Times New Roman"/>
          <w:b/>
          <w:kern w:val="0"/>
          <w:sz w:val="52"/>
          <w:szCs w:val="52"/>
          <w:highlight w:val="none"/>
        </w:rPr>
      </w:pPr>
    </w:p>
    <w:p w14:paraId="1ECD5A12">
      <w:pPr>
        <w:spacing w:line="540" w:lineRule="exact"/>
        <w:rPr>
          <w:rFonts w:hint="default" w:ascii="Times New Roman" w:hAnsi="Times New Roman" w:eastAsia="华文中宋" w:cs="Times New Roman"/>
          <w:b/>
          <w:kern w:val="0"/>
          <w:sz w:val="52"/>
          <w:szCs w:val="52"/>
          <w:highlight w:val="none"/>
        </w:rPr>
      </w:pPr>
    </w:p>
    <w:p w14:paraId="15099FEC">
      <w:pPr>
        <w:spacing w:line="540" w:lineRule="exact"/>
        <w:jc w:val="center"/>
        <w:rPr>
          <w:rFonts w:hint="default" w:ascii="Times New Roman" w:hAnsi="Times New Roman" w:eastAsia="华文中宋" w:cs="Times New Roman"/>
          <w:b/>
          <w:kern w:val="0"/>
          <w:sz w:val="52"/>
          <w:szCs w:val="52"/>
          <w:highlight w:val="none"/>
        </w:rPr>
      </w:pPr>
    </w:p>
    <w:p w14:paraId="080BA132">
      <w:pPr>
        <w:spacing w:line="540" w:lineRule="exact"/>
        <w:jc w:val="center"/>
        <w:rPr>
          <w:rFonts w:hint="default" w:ascii="Times New Roman" w:hAnsi="Times New Roman" w:eastAsia="华文中宋" w:cs="Times New Roman"/>
          <w:b/>
          <w:kern w:val="0"/>
          <w:sz w:val="52"/>
          <w:szCs w:val="52"/>
          <w:highlight w:val="none"/>
        </w:rPr>
      </w:pPr>
    </w:p>
    <w:p w14:paraId="4CA4FDA7">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才坎诺尔乡人民政府乡村工作人员工资、补助项目支出绩效评价报告</w:t>
      </w:r>
    </w:p>
    <w:p w14:paraId="4938D9DA">
      <w:pPr>
        <w:spacing w:line="540" w:lineRule="exact"/>
        <w:jc w:val="center"/>
        <w:rPr>
          <w:rFonts w:hint="default" w:ascii="Times New Roman" w:hAnsi="Times New Roman" w:eastAsia="华文中宋" w:cs="Times New Roman"/>
          <w:b/>
          <w:kern w:val="0"/>
          <w:sz w:val="52"/>
          <w:szCs w:val="52"/>
          <w:highlight w:val="none"/>
        </w:rPr>
      </w:pPr>
    </w:p>
    <w:p w14:paraId="61E1A99B">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078AC54A">
      <w:pPr>
        <w:spacing w:line="540" w:lineRule="exact"/>
        <w:jc w:val="center"/>
        <w:rPr>
          <w:rFonts w:hint="default" w:ascii="Times New Roman" w:hAnsi="Times New Roman" w:eastAsia="仿宋_GB2312" w:cs="Times New Roman"/>
          <w:kern w:val="0"/>
          <w:sz w:val="30"/>
          <w:szCs w:val="30"/>
          <w:highlight w:val="none"/>
        </w:rPr>
      </w:pPr>
    </w:p>
    <w:p w14:paraId="17DBC2F4">
      <w:pPr>
        <w:spacing w:line="540" w:lineRule="exact"/>
        <w:jc w:val="center"/>
        <w:rPr>
          <w:rFonts w:hint="default" w:ascii="Times New Roman" w:hAnsi="Times New Roman" w:eastAsia="仿宋_GB2312" w:cs="Times New Roman"/>
          <w:kern w:val="0"/>
          <w:sz w:val="30"/>
          <w:szCs w:val="30"/>
          <w:highlight w:val="none"/>
        </w:rPr>
      </w:pPr>
    </w:p>
    <w:p w14:paraId="17E97BBF">
      <w:pPr>
        <w:spacing w:line="540" w:lineRule="exact"/>
        <w:jc w:val="center"/>
        <w:rPr>
          <w:rFonts w:hint="default" w:ascii="Times New Roman" w:hAnsi="Times New Roman" w:eastAsia="仿宋_GB2312" w:cs="Times New Roman"/>
          <w:kern w:val="0"/>
          <w:sz w:val="30"/>
          <w:szCs w:val="30"/>
          <w:highlight w:val="none"/>
        </w:rPr>
      </w:pPr>
    </w:p>
    <w:p w14:paraId="4A827C40">
      <w:pPr>
        <w:pStyle w:val="10"/>
        <w:rPr>
          <w:rFonts w:hint="default" w:ascii="Times New Roman" w:hAnsi="Times New Roman" w:cs="Times New Roman"/>
          <w:highlight w:val="none"/>
        </w:rPr>
      </w:pPr>
    </w:p>
    <w:p w14:paraId="378E9EDE">
      <w:pPr>
        <w:spacing w:line="540" w:lineRule="exact"/>
        <w:jc w:val="center"/>
        <w:rPr>
          <w:rFonts w:hint="default" w:ascii="Times New Roman" w:hAnsi="Times New Roman" w:eastAsia="仿宋_GB2312" w:cs="Times New Roman"/>
          <w:kern w:val="0"/>
          <w:sz w:val="30"/>
          <w:szCs w:val="30"/>
          <w:highlight w:val="none"/>
        </w:rPr>
      </w:pPr>
    </w:p>
    <w:p w14:paraId="46A01417">
      <w:pPr>
        <w:spacing w:line="540" w:lineRule="exact"/>
        <w:rPr>
          <w:rFonts w:hint="default" w:ascii="Times New Roman" w:hAnsi="Times New Roman" w:eastAsia="仿宋_GB2312" w:cs="Times New Roman"/>
          <w:kern w:val="0"/>
          <w:sz w:val="30"/>
          <w:szCs w:val="30"/>
          <w:highlight w:val="none"/>
        </w:rPr>
      </w:pPr>
    </w:p>
    <w:p w14:paraId="205A211C">
      <w:pPr>
        <w:spacing w:line="700" w:lineRule="exact"/>
        <w:ind w:left="2877" w:leftChars="513" w:hanging="1800" w:hangingChars="5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项目名称：才坎诺尔乡人民政府乡村工作人员工资、补助</w:t>
      </w:r>
    </w:p>
    <w:p w14:paraId="68D3EA89">
      <w:pPr>
        <w:spacing w:line="700" w:lineRule="exact"/>
        <w:ind w:firstLine="1080" w:firstLineChars="3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实施单位（公章）：博湖县才坎诺尔乡人民政府</w:t>
      </w:r>
    </w:p>
    <w:p w14:paraId="73362EFF">
      <w:pPr>
        <w:spacing w:line="700" w:lineRule="exact"/>
        <w:ind w:firstLine="1080" w:firstLineChars="3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主管部门（公章）：博湖县才坎诺尔乡人民政府</w:t>
      </w:r>
    </w:p>
    <w:p w14:paraId="47646CD8">
      <w:pPr>
        <w:spacing w:line="700" w:lineRule="exact"/>
        <w:ind w:firstLine="1080" w:firstLineChars="3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孟和才次克</w:t>
      </w:r>
    </w:p>
    <w:p w14:paraId="203B02C8">
      <w:pPr>
        <w:spacing w:line="700" w:lineRule="exact"/>
        <w:ind w:firstLine="1080" w:firstLineChars="3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22</w:t>
      </w:r>
      <w:r>
        <w:rPr>
          <w:rFonts w:hint="default" w:ascii="Times New Roman" w:hAnsi="Times New Roman" w:eastAsia="仿宋_GB2312" w:cs="Times New Roman"/>
          <w:kern w:val="0"/>
          <w:sz w:val="36"/>
          <w:szCs w:val="36"/>
          <w:highlight w:val="none"/>
        </w:rPr>
        <w:t>日</w:t>
      </w:r>
    </w:p>
    <w:p w14:paraId="33FBEBED">
      <w:pPr>
        <w:spacing w:line="540" w:lineRule="exact"/>
        <w:jc w:val="center"/>
        <w:rPr>
          <w:rFonts w:hint="default" w:ascii="Times New Roman" w:hAnsi="Times New Roman" w:eastAsia="仿宋_GB2312" w:cs="Times New Roman"/>
          <w:kern w:val="0"/>
          <w:sz w:val="30"/>
          <w:szCs w:val="30"/>
          <w:highlight w:val="none"/>
        </w:rPr>
      </w:pPr>
    </w:p>
    <w:p w14:paraId="209E8DAE">
      <w:pPr>
        <w:spacing w:line="540" w:lineRule="exact"/>
        <w:rPr>
          <w:rStyle w:val="16"/>
          <w:rFonts w:hint="default" w:ascii="Times New Roman" w:hAnsi="Times New Roman" w:eastAsia="黑体" w:cs="Times New Roman"/>
          <w:b w:val="0"/>
          <w:spacing w:val="-4"/>
          <w:sz w:val="32"/>
          <w:szCs w:val="32"/>
          <w:highlight w:val="none"/>
        </w:rPr>
      </w:pPr>
    </w:p>
    <w:p w14:paraId="4308DB05">
      <w:pPr>
        <w:spacing w:line="540" w:lineRule="exact"/>
        <w:ind w:firstLine="640"/>
        <w:rPr>
          <w:rStyle w:val="16"/>
          <w:rFonts w:hint="default" w:ascii="Times New Roman" w:hAnsi="Times New Roman" w:eastAsia="黑体" w:cs="Times New Roman"/>
          <w:b w:val="0"/>
          <w:spacing w:val="-4"/>
          <w:sz w:val="32"/>
          <w:szCs w:val="32"/>
          <w:highlight w:val="none"/>
        </w:rPr>
      </w:pPr>
    </w:p>
    <w:p w14:paraId="41459A47">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57C26229">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77DB05D5">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5560970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随着乡村振兴战略深入实施，农村在产业发展、环境整治、民生保障等方面任务日益繁重。村级力量作为乡村治理的直接执行者，承担着组织村民、落实项目、服务群众等关键职责。根据博湖县才坎诺尔乡党委会议纪要要求，</w:t>
      </w:r>
      <w:r>
        <w:rPr>
          <w:rFonts w:hint="default" w:ascii="Times New Roman" w:hAnsi="Times New Roman" w:eastAsia="仿宋_GB2312" w:cs="Times New Roman"/>
          <w:sz w:val="32"/>
          <w:szCs w:val="32"/>
          <w:highlight w:val="none"/>
          <w:lang w:val="en-US" w:eastAsia="zh-CN"/>
        </w:rPr>
        <w:t>保障各村人员工资、补贴按时发放到位，</w:t>
      </w:r>
      <w:r>
        <w:rPr>
          <w:rFonts w:hint="eastAsia" w:ascii="Times New Roman" w:hAnsi="Times New Roman" w:eastAsia="仿宋_GB2312" w:cs="Times New Roman"/>
          <w:sz w:val="32"/>
          <w:szCs w:val="32"/>
          <w:highlight w:val="none"/>
          <w:lang w:val="en-US" w:eastAsia="zh-CN"/>
        </w:rPr>
        <w:t>能有效</w:t>
      </w:r>
      <w:r>
        <w:rPr>
          <w:rFonts w:hint="default" w:ascii="Times New Roman" w:hAnsi="Times New Roman" w:eastAsia="仿宋_GB2312" w:cs="Times New Roman"/>
          <w:sz w:val="32"/>
          <w:szCs w:val="32"/>
          <w:highlight w:val="none"/>
          <w:lang w:val="en-US" w:eastAsia="zh-CN"/>
        </w:rPr>
        <w:t>提升各村人员工作动力，</w:t>
      </w:r>
      <w:r>
        <w:rPr>
          <w:rFonts w:hint="eastAsia" w:ascii="Times New Roman" w:hAnsi="Times New Roman" w:eastAsia="仿宋_GB2312" w:cs="Times New Roman"/>
          <w:sz w:val="32"/>
          <w:szCs w:val="32"/>
          <w:highlight w:val="none"/>
          <w:lang w:val="en-US" w:eastAsia="zh-CN"/>
        </w:rPr>
        <w:t>提高工作积极性，</w:t>
      </w:r>
      <w:r>
        <w:rPr>
          <w:rFonts w:hint="default" w:ascii="Times New Roman" w:hAnsi="Times New Roman" w:eastAsia="仿宋_GB2312" w:cs="Times New Roman"/>
          <w:sz w:val="32"/>
          <w:szCs w:val="32"/>
          <w:highlight w:val="none"/>
          <w:lang w:val="en-US" w:eastAsia="zh-CN"/>
        </w:rPr>
        <w:t>保障各项工作有序开展。</w:t>
      </w:r>
    </w:p>
    <w:p w14:paraId="1948C333">
      <w:pPr>
        <w:spacing w:line="560" w:lineRule="exact"/>
        <w:ind w:firstLine="643" w:firstLineChars="200"/>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2.项目主要内容：</w:t>
      </w:r>
    </w:p>
    <w:p w14:paraId="67C532F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eastAsia="仿宋_GB2312" w:cs="Times New Roman"/>
          <w:sz w:val="32"/>
          <w:szCs w:val="32"/>
          <w:highlight w:val="none"/>
          <w:lang w:val="en-US" w:eastAsia="zh-CN"/>
        </w:rPr>
        <w:t>发放4个村，162名村级人员工资及补助9次，提高工作人员积极性，保障各村正常运转。</w:t>
      </w:r>
    </w:p>
    <w:p w14:paraId="561E1E2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项目实施情况：为4个行政村村干部、村民小组长、联防队员等共162人，发放工资或补助9次，全部按时发放到位，保障</w:t>
      </w:r>
      <w:r>
        <w:rPr>
          <w:rFonts w:hint="eastAsia" w:eastAsia="仿宋_GB2312" w:cs="Times New Roman"/>
          <w:sz w:val="32"/>
          <w:szCs w:val="32"/>
          <w:highlight w:val="none"/>
          <w:lang w:eastAsia="zh-CN"/>
        </w:rPr>
        <w:t>各村</w:t>
      </w:r>
      <w:r>
        <w:rPr>
          <w:rFonts w:hint="default" w:ascii="Times New Roman" w:hAnsi="Times New Roman" w:eastAsia="仿宋_GB2312" w:cs="Times New Roman"/>
          <w:sz w:val="32"/>
          <w:szCs w:val="32"/>
          <w:highlight w:val="none"/>
        </w:rPr>
        <w:t>人员工资待遇，有效提升各村人员工作动力，推进4个行政村各项工作有序开展。</w:t>
      </w:r>
    </w:p>
    <w:p w14:paraId="3B02CBEB">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3634E5D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12BF4D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该项目年初预算数39.38万元，全年预算数39.38万元，该项目资金已全部落实到位，资金来源为</w:t>
      </w:r>
      <w:r>
        <w:rPr>
          <w:rFonts w:hint="eastAsia" w:eastAsia="仿宋_GB2312" w:cs="Times New Roman"/>
          <w:b w:val="0"/>
          <w:bCs w:val="0"/>
          <w:color w:val="auto"/>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4BABE09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5A76098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该项目年初预算数39.38万元，全年预算数39.38万元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全年执行数39.38万元，预算执行率为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支付162人工资及补贴，每人0.24万元。</w:t>
      </w:r>
    </w:p>
    <w:p w14:paraId="45F3FE11">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42D4ECE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18DA04F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保障各村人员工资、补贴按时发放到位，提升各村人员工作动力，保障4个行政村各项工作有序开展。</w:t>
      </w:r>
    </w:p>
    <w:p w14:paraId="7FA6FF7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27DBA422">
      <w:pPr>
        <w:spacing w:line="560" w:lineRule="exact"/>
        <w:ind w:firstLine="640" w:firstLineChars="200"/>
        <w:rPr>
          <w:rFonts w:hint="default" w:eastAsia="仿宋_GB2312" w:cs="Times New Roman"/>
          <w:color w:val="000000" w:themeColor="text1"/>
          <w:sz w:val="32"/>
          <w:szCs w:val="32"/>
          <w:highlight w:val="none"/>
          <w:lang w:val="en-US" w:eastAsia="zh-CN"/>
          <w14:textFill>
            <w14:solidFill>
              <w14:schemeClr w14:val="tx1"/>
            </w14:solidFill>
          </w14:textFill>
        </w:rPr>
      </w:pPr>
      <w:r>
        <w:rPr>
          <w:rFonts w:hint="eastAsia" w:eastAsia="仿宋_GB2312" w:cs="Times New Roman"/>
          <w:color w:val="000000" w:themeColor="text1"/>
          <w:sz w:val="32"/>
          <w:szCs w:val="32"/>
          <w:highlight w:val="none"/>
          <w:lang w:val="en-US" w:eastAsia="zh-CN"/>
          <w14:textFill>
            <w14:solidFill>
              <w14:schemeClr w14:val="tx1"/>
            </w14:solidFill>
          </w14:textFill>
        </w:rPr>
        <w:t>上半年：年初收集整理村级工作人员名单及相关工资补助信息，确保发放工资、补助时，人员信息正确，6月前将补发工资、补助全部发放到位。</w:t>
      </w:r>
    </w:p>
    <w:p w14:paraId="054509A3">
      <w:pPr>
        <w:spacing w:line="560" w:lineRule="exact"/>
        <w:ind w:firstLine="640" w:firstLineChars="200"/>
        <w:rPr>
          <w:rFonts w:hint="default" w:eastAsia="仿宋_GB2312" w:cs="Times New Roman"/>
          <w:color w:val="000000" w:themeColor="text1"/>
          <w:sz w:val="32"/>
          <w:szCs w:val="32"/>
          <w:highlight w:val="none"/>
          <w:lang w:val="en-US" w:eastAsia="zh-CN"/>
          <w14:textFill>
            <w14:solidFill>
              <w14:schemeClr w14:val="tx1"/>
            </w14:solidFill>
          </w14:textFill>
        </w:rPr>
      </w:pPr>
      <w:r>
        <w:rPr>
          <w:rFonts w:hint="eastAsia" w:eastAsia="仿宋_GB2312" w:cs="Times New Roman"/>
          <w:color w:val="000000" w:themeColor="text1"/>
          <w:sz w:val="32"/>
          <w:szCs w:val="32"/>
          <w:highlight w:val="none"/>
          <w:lang w:val="en-US" w:eastAsia="zh-CN"/>
          <w14:textFill>
            <w14:solidFill>
              <w14:schemeClr w14:val="tx1"/>
            </w14:solidFill>
          </w14:textFill>
        </w:rPr>
        <w:t>下半年：对发放工资、补助进行自查，确保发放准确率100%。</w:t>
      </w:r>
    </w:p>
    <w:p w14:paraId="232AE5B5">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70C64073">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12FB7E51">
      <w:pPr>
        <w:pStyle w:val="10"/>
        <w:widowControl w:val="0"/>
        <w:spacing w:before="0" w:after="0" w:line="560" w:lineRule="exact"/>
        <w:ind w:firstLine="720" w:firstLineChars="200"/>
        <w:jc w:val="both"/>
        <w:outlineLvl w:val="9"/>
        <w:rPr>
          <w:rFonts w:hint="default" w:ascii="Times New Roman" w:hAnsi="Times New Roman" w:eastAsia="仿宋_GB2312" w:cs="Times New Roman"/>
          <w:b w:val="0"/>
          <w:bCs w:val="0"/>
          <w:sz w:val="36"/>
          <w:szCs w:val="36"/>
          <w:highlight w:val="none"/>
          <w:lang w:val="en-US" w:eastAsia="zh-CN"/>
        </w:rPr>
      </w:pPr>
      <w:r>
        <w:rPr>
          <w:rFonts w:hint="default" w:ascii="Times New Roman" w:hAnsi="Times New Roman" w:eastAsia="仿宋_GB2312" w:cs="Times New Roman"/>
          <w:b w:val="0"/>
          <w:bCs w:val="0"/>
          <w:sz w:val="36"/>
          <w:szCs w:val="36"/>
          <w:highlight w:val="none"/>
          <w:lang w:val="en-US" w:eastAsia="zh-CN"/>
        </w:rPr>
        <w:t>1.绩效评价完整性</w:t>
      </w:r>
    </w:p>
    <w:p w14:paraId="1CE74E2D">
      <w:pPr>
        <w:spacing w:line="560" w:lineRule="exact"/>
        <w:ind w:firstLine="720" w:firstLineChars="200"/>
        <w:rPr>
          <w:rFonts w:hint="default" w:ascii="Times New Roman" w:hAnsi="Times New Roman" w:eastAsia="仿宋_GB2312" w:cs="Times New Roman"/>
          <w:sz w:val="36"/>
          <w:szCs w:val="36"/>
          <w:highlight w:val="none"/>
        </w:rPr>
      </w:pPr>
      <w:r>
        <w:rPr>
          <w:rFonts w:hint="default" w:ascii="Times New Roman" w:hAnsi="Times New Roman" w:eastAsia="仿宋_GB2312" w:cs="Times New Roman"/>
          <w:sz w:val="36"/>
          <w:szCs w:val="36"/>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w:t>
      </w:r>
      <w:bookmarkStart w:id="3" w:name="_GoBack"/>
      <w:r>
        <w:rPr>
          <w:rFonts w:hint="default" w:ascii="Times New Roman" w:hAnsi="Times New Roman" w:eastAsia="仿宋_GB2312" w:cs="Times New Roman"/>
          <w:sz w:val="36"/>
          <w:szCs w:val="36"/>
          <w:highlight w:val="none"/>
          <w:lang w:val="en-US" w:eastAsia="zh-CN"/>
        </w:rPr>
        <w:t>的</w:t>
      </w:r>
      <w:bookmarkEnd w:id="3"/>
      <w:r>
        <w:rPr>
          <w:rFonts w:hint="default" w:ascii="Times New Roman" w:hAnsi="Times New Roman" w:eastAsia="仿宋_GB2312" w:cs="Times New Roman"/>
          <w:sz w:val="36"/>
          <w:szCs w:val="36"/>
          <w:highlight w:val="none"/>
          <w:lang w:val="en-US" w:eastAsia="zh-CN"/>
        </w:rPr>
        <w:t>梳理与评估。</w:t>
      </w:r>
    </w:p>
    <w:p w14:paraId="28D0A6F7">
      <w:pPr>
        <w:spacing w:line="560" w:lineRule="exact"/>
        <w:ind w:firstLine="720" w:firstLineChars="200"/>
        <w:rPr>
          <w:rFonts w:hint="default" w:ascii="Times New Roman" w:hAnsi="Times New Roman" w:eastAsia="仿宋_GB2312" w:cs="Times New Roman"/>
          <w:sz w:val="36"/>
          <w:szCs w:val="36"/>
          <w:highlight w:val="none"/>
        </w:rPr>
      </w:pPr>
      <w:r>
        <w:rPr>
          <w:rFonts w:hint="default" w:ascii="Times New Roman" w:hAnsi="Times New Roman" w:eastAsia="仿宋_GB2312" w:cs="Times New Roman"/>
          <w:sz w:val="36"/>
          <w:szCs w:val="36"/>
          <w:highlight w:val="none"/>
          <w:lang w:val="en-US" w:eastAsia="zh-CN"/>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14:paraId="58A303E2">
      <w:pPr>
        <w:spacing w:line="560" w:lineRule="exact"/>
        <w:ind w:firstLine="720" w:firstLineChars="200"/>
        <w:rPr>
          <w:rFonts w:hint="default" w:ascii="Times New Roman" w:hAnsi="Times New Roman" w:eastAsia="仿宋_GB2312" w:cs="Times New Roman"/>
          <w:sz w:val="36"/>
          <w:szCs w:val="36"/>
          <w:highlight w:val="none"/>
        </w:rPr>
      </w:pPr>
      <w:r>
        <w:rPr>
          <w:rFonts w:hint="default" w:ascii="Times New Roman" w:hAnsi="Times New Roman" w:eastAsia="仿宋_GB2312" w:cs="Times New Roman"/>
          <w:sz w:val="36"/>
          <w:szCs w:val="36"/>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6F238F5">
      <w:pPr>
        <w:spacing w:line="560" w:lineRule="exact"/>
        <w:ind w:firstLine="720" w:firstLineChars="200"/>
        <w:rPr>
          <w:rFonts w:hint="default" w:ascii="Times New Roman" w:hAnsi="Times New Roman" w:eastAsia="仿宋_GB2312" w:cs="Times New Roman"/>
          <w:sz w:val="36"/>
          <w:szCs w:val="36"/>
          <w:highlight w:val="none"/>
        </w:rPr>
      </w:pPr>
      <w:r>
        <w:rPr>
          <w:rFonts w:hint="default" w:ascii="Times New Roman" w:hAnsi="Times New Roman" w:eastAsia="仿宋_GB2312" w:cs="Times New Roman"/>
          <w:sz w:val="36"/>
          <w:szCs w:val="36"/>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85BC629">
      <w:pPr>
        <w:spacing w:line="560" w:lineRule="exact"/>
        <w:ind w:firstLine="720" w:firstLineChars="200"/>
        <w:rPr>
          <w:rFonts w:hint="default" w:ascii="Times New Roman" w:hAnsi="Times New Roman" w:eastAsia="仿宋_GB2312" w:cs="Times New Roman"/>
          <w:sz w:val="36"/>
          <w:szCs w:val="36"/>
          <w:highlight w:val="none"/>
          <w:lang w:val="en-US" w:eastAsia="zh-CN"/>
        </w:rPr>
      </w:pPr>
      <w:r>
        <w:rPr>
          <w:rFonts w:hint="default" w:ascii="Times New Roman" w:hAnsi="Times New Roman" w:eastAsia="仿宋_GB2312" w:cs="Times New Roman"/>
          <w:sz w:val="36"/>
          <w:szCs w:val="36"/>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AF64247">
      <w:pPr>
        <w:spacing w:line="560" w:lineRule="exact"/>
        <w:ind w:firstLine="720" w:firstLineChars="200"/>
        <w:rPr>
          <w:rFonts w:hint="default" w:ascii="Times New Roman" w:hAnsi="Times New Roman" w:eastAsia="仿宋_GB2312" w:cs="Times New Roman"/>
          <w:sz w:val="36"/>
          <w:szCs w:val="36"/>
          <w:highlight w:val="none"/>
        </w:rPr>
      </w:pPr>
      <w:r>
        <w:rPr>
          <w:rFonts w:hint="default" w:ascii="Times New Roman" w:hAnsi="Times New Roman" w:eastAsia="仿宋_GB2312" w:cs="Times New Roman"/>
          <w:sz w:val="36"/>
          <w:szCs w:val="36"/>
          <w:highlight w:val="none"/>
          <w:lang w:val="en-US" w:eastAsia="zh-CN"/>
        </w:rPr>
        <w:t>2.</w:t>
      </w:r>
      <w:r>
        <w:rPr>
          <w:rFonts w:hint="default" w:ascii="Times New Roman" w:hAnsi="Times New Roman" w:eastAsia="仿宋_GB2312" w:cs="Times New Roman"/>
          <w:sz w:val="36"/>
          <w:szCs w:val="36"/>
          <w:highlight w:val="none"/>
        </w:rPr>
        <w:t>绩效评价的目的</w:t>
      </w:r>
    </w:p>
    <w:p w14:paraId="780E3E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6D8E06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5D5FD7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）强化项目管理责任</w:t>
      </w:r>
    </w:p>
    <w:p w14:paraId="306122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C4E6F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）促进项目持续改进</w:t>
      </w:r>
    </w:p>
    <w:p w14:paraId="0B38E5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75FFB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F403D8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47C7448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本项目预算绩效评价报告的评价对象是才坎诺尔乡人民政府乡村工作人员工资、补助</w:t>
      </w:r>
      <w:r>
        <w:rPr>
          <w:rFonts w:hint="eastAsia" w:ascii="Times New Roman" w:hAnsi="Times New Roman" w:eastAsia="仿宋_GB2312" w:cs="Times New Roman"/>
          <w:b w:val="0"/>
          <w:bCs w:val="0"/>
          <w:highlight w:val="none"/>
          <w:lang w:eastAsia="zh-CN"/>
        </w:rPr>
        <w:t>及</w:t>
      </w:r>
      <w:r>
        <w:rPr>
          <w:rFonts w:hint="default" w:ascii="Times New Roman" w:hAnsi="Times New Roman" w:eastAsia="仿宋_GB2312" w:cs="Times New Roman"/>
          <w:b w:val="0"/>
          <w:bCs w:val="0"/>
          <w:highlight w:val="none"/>
        </w:rPr>
        <w:t>预算执行情况。该项目由博湖县才坎诺尔乡人民政府负责实施，旨在</w:t>
      </w:r>
      <w:r>
        <w:rPr>
          <w:rFonts w:hint="eastAsia" w:ascii="Times New Roman" w:hAnsi="Times New Roman" w:eastAsia="仿宋_GB2312" w:cs="Times New Roman"/>
          <w:b w:val="0"/>
          <w:bCs w:val="0"/>
          <w:highlight w:val="none"/>
          <w:lang w:val="en-US" w:eastAsia="zh-CN"/>
        </w:rPr>
        <w:t>保障村级人员工资及各项补贴发放到位</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2024年1月20日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2024年10月30日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39.38</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73E9226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31E4868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E1B8E07">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4B22D782">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29A60666">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7AB64014">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影响：考察项目对社会方面的综合影响。</w:t>
      </w:r>
    </w:p>
    <w:p w14:paraId="1DE8EC6E">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14EF7A9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46BF7B3A">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009B22AC">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35481240">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4115DA84">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424357A4">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1231287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5EAC7FB6">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3F2935C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3378880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0E3A6B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4CBCC678">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40C9603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350896A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3BA85E5F">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3565C89F">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471C903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30E45BA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504358E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7D9D9A6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比较法，原因是：</w:t>
      </w:r>
      <w:r>
        <w:rPr>
          <w:rFonts w:hint="eastAsia" w:ascii="Times New Roman" w:hAnsi="Times New Roman" w:eastAsia="仿宋_GB2312" w:cs="Times New Roman"/>
          <w:b w:val="0"/>
          <w:bCs w:val="0"/>
          <w:highlight w:val="none"/>
          <w:lang w:val="en-US" w:eastAsia="zh-CN"/>
        </w:rPr>
        <w:t>将</w:t>
      </w:r>
      <w:r>
        <w:rPr>
          <w:rFonts w:hint="default" w:ascii="Times New Roman" w:hAnsi="Times New Roman" w:eastAsia="仿宋_GB2312" w:cs="Times New Roman"/>
          <w:b w:val="0"/>
          <w:bCs w:val="0"/>
          <w:highlight w:val="none"/>
        </w:rPr>
        <w:t>本项目</w:t>
      </w:r>
      <w:r>
        <w:rPr>
          <w:rFonts w:hint="eastAsia" w:ascii="Times New Roman" w:hAnsi="Times New Roman" w:eastAsia="仿宋_GB2312" w:cs="Times New Roman"/>
          <w:b w:val="0"/>
          <w:bCs w:val="0"/>
          <w:highlight w:val="none"/>
          <w:lang w:val="en-US" w:eastAsia="zh-CN"/>
        </w:rPr>
        <w:t>实施情况与</w:t>
      </w:r>
      <w:r>
        <w:rPr>
          <w:rFonts w:hint="default" w:ascii="Times New Roman" w:hAnsi="Times New Roman" w:eastAsia="仿宋_GB2312" w:cs="Times New Roman"/>
          <w:b w:val="0"/>
          <w:bCs w:val="0"/>
          <w:highlight w:val="none"/>
        </w:rPr>
        <w:t>年初设定</w:t>
      </w:r>
      <w:r>
        <w:rPr>
          <w:rFonts w:hint="eastAsia" w:ascii="Times New Roman" w:hAnsi="Times New Roman" w:eastAsia="仿宋_GB2312" w:cs="Times New Roman"/>
          <w:b w:val="0"/>
          <w:bCs w:val="0"/>
          <w:highlight w:val="none"/>
          <w:lang w:val="en-US" w:eastAsia="zh-CN"/>
        </w:rPr>
        <w:t>的</w:t>
      </w:r>
      <w:r>
        <w:rPr>
          <w:rFonts w:hint="default" w:ascii="Times New Roman" w:hAnsi="Times New Roman" w:eastAsia="仿宋_GB2312" w:cs="Times New Roman"/>
          <w:b w:val="0"/>
          <w:bCs w:val="0"/>
          <w:highlight w:val="none"/>
        </w:rPr>
        <w:t>保障4个行政村，</w:t>
      </w:r>
      <w:r>
        <w:rPr>
          <w:rFonts w:hint="eastAsia" w:ascii="Times New Roman" w:hAnsi="Times New Roman" w:eastAsia="仿宋_GB2312" w:cs="Times New Roman"/>
          <w:b w:val="0"/>
          <w:bCs w:val="0"/>
          <w:highlight w:val="none"/>
          <w:lang w:val="en-US" w:eastAsia="zh-CN"/>
        </w:rPr>
        <w:t>村级162名工作人员的补助发放等</w:t>
      </w:r>
      <w:r>
        <w:rPr>
          <w:rFonts w:hint="default" w:ascii="Times New Roman" w:hAnsi="Times New Roman" w:eastAsia="仿宋_GB2312" w:cs="Times New Roman"/>
          <w:b w:val="0"/>
          <w:bCs w:val="0"/>
          <w:highlight w:val="none"/>
        </w:rPr>
        <w:t>目标进行比较。</w:t>
      </w:r>
    </w:p>
    <w:p w14:paraId="4DED573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7064D90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7310949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lang w:val="en-US" w:eastAsia="zh-CN"/>
        </w:rPr>
        <w:t>原因：根据博湖县才坎诺尔乡党委会议纪要，制定了本项目的目标及工作计划，确定了预算及定额作为评价标准</w:t>
      </w:r>
      <w:r>
        <w:rPr>
          <w:rFonts w:hint="default" w:ascii="Times New Roman" w:hAnsi="Times New Roman" w:eastAsia="仿宋_GB2312" w:cs="Times New Roman"/>
          <w:b w:val="0"/>
          <w:bCs w:val="0"/>
          <w:highlight w:val="none"/>
        </w:rPr>
        <w:t>。</w:t>
      </w:r>
    </w:p>
    <w:p w14:paraId="136A6607">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0E0EF4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59BDB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09845E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5AC2FD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5CDAEE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19FFFB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3658D4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46B114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2771D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2F5C57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8817F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4E0013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F1B5C56">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6FABC076">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4D127851">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本项目的综合评价基于对项目各方面绩效的深入分析与评估。从项目目标的达成情况来看，才坎诺尔乡人民政府乡村工作人员工资、补助在发放次数、发放人数</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发放准确率</w:t>
      </w:r>
      <w:r>
        <w:rPr>
          <w:rFonts w:hint="default" w:ascii="Times New Roman" w:hAnsi="Times New Roman" w:eastAsia="仿宋_GB2312" w:cs="Times New Roman"/>
          <w:sz w:val="32"/>
          <w:szCs w:val="32"/>
          <w:highlight w:val="none"/>
        </w:rPr>
        <w:t>等方面表现出色，达到了预期的标准与要求。同时，项目也在</w:t>
      </w:r>
      <w:r>
        <w:rPr>
          <w:rFonts w:hint="default" w:ascii="Times New Roman" w:hAnsi="Times New Roman" w:eastAsia="仿宋_GB2312" w:cs="Times New Roman"/>
          <w:color w:val="auto"/>
          <w:sz w:val="32"/>
          <w:szCs w:val="32"/>
          <w:highlight w:val="none"/>
        </w:rPr>
        <w:t>提升各村人员工作动力</w:t>
      </w:r>
      <w:r>
        <w:rPr>
          <w:rFonts w:hint="eastAsia" w:eastAsia="仿宋_GB2312" w:cs="Times New Roman"/>
          <w:color w:val="auto"/>
          <w:sz w:val="32"/>
          <w:szCs w:val="32"/>
          <w:highlight w:val="none"/>
          <w:lang w:val="en-US" w:eastAsia="zh-CN"/>
        </w:rPr>
        <w:t>方面</w:t>
      </w:r>
      <w:r>
        <w:rPr>
          <w:rFonts w:hint="default" w:ascii="Times New Roman" w:hAnsi="Times New Roman" w:eastAsia="仿宋_GB2312" w:cs="Times New Roman"/>
          <w:sz w:val="32"/>
          <w:szCs w:val="32"/>
          <w:highlight w:val="none"/>
        </w:rPr>
        <w:t>取得了显著的成效。</w:t>
      </w:r>
    </w:p>
    <w:p w14:paraId="2B10DC71">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在项目管理方面，才坎诺尔乡人民政府通过有效的规划、组织与协调，项目得以顺利实施，并在预算与时间上保持了良好的控制。</w:t>
      </w:r>
    </w:p>
    <w:p w14:paraId="7220789A">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从项目效益的角度来看，本项目实现了预期的社会效益。具体而言，各村人员工作动力方面的提升，为项目的利益相关者带来了实实在在的利益。</w:t>
      </w:r>
    </w:p>
    <w:p w14:paraId="371129A9">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综上所述，才坎诺尔乡人民政府乡村工作人员工资、补助在绩效评价中表现出色，达到了项目的预期目标，并在多个方面取得了显著的成效。</w:t>
      </w:r>
    </w:p>
    <w:p w14:paraId="25D11D4B">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41A5F4C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7B5A0E83">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51DB49C3">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55A5FEE6">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7F9FB6CA">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2BBF6153">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14:paraId="61AB997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8B5871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780E008C">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9C9AB9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1646245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D2DD53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0792323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54FC795">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0143BBB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6BDF7E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20283E4C">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372BF0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14:paraId="3303018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9BE11E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620A6276">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5C42B8B">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599AD43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CCD29E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4A67DA8F">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C96CDBD">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14:paraId="4EF7C637">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28C19CD1">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2CD4EAD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4C56525">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3AD965F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3BB3660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6784B9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26D7BDD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197AA6E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根据决算依据编制工作计划和经费预算，经过与部门项目分管领导沟通、筛选确定经费预算计划，确定最终预算方案。项目的审批文件、材料符合相关要求，项目事前经过必要集体决策，保障了程序的规范性。</w:t>
      </w:r>
    </w:p>
    <w:p w14:paraId="2C5983C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20DE895F">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113EF72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0E06231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5B427C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7B70585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35E2F8F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6467873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67A709B5">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3FC52F1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3B826E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E42F28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DE359D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2D64829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2C3FDB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9D987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43A61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84732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3D05660C">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552F3C6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B4EE0AE">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0DF86E2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507C2AE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39.38</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0E1957D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0FD8485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2897B70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39.38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8BEE60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037AA4D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0470AD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193DA3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154E2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BD17B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0B53916A">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27D13BA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693657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22866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02FE2A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C6B250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55101D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380EA1E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0BBF0C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05C125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1753F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29DA71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459C5AED">
      <w:pPr>
        <w:pStyle w:val="11"/>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77303B9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733C210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153406D2">
      <w:pPr>
        <w:shd w:val="clear" w:color="auto" w:fill="auto"/>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指标1：涉及行政村数量，指标值：</w:t>
      </w:r>
      <w:r>
        <w:rPr>
          <w:rFonts w:hint="eastAsia" w:eastAsia="仿宋_GB2312" w:cs="Times New Roman"/>
          <w:sz w:val="32"/>
          <w:szCs w:val="32"/>
          <w:highlight w:val="none"/>
          <w:lang w:eastAsia="zh-CN"/>
        </w:rPr>
        <w:t>&gt;=4个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7784E4D8">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：发放次数，指标值：</w:t>
      </w:r>
      <w:r>
        <w:rPr>
          <w:rFonts w:hint="eastAsia" w:eastAsia="仿宋_GB2312" w:cs="Times New Roman"/>
          <w:sz w:val="32"/>
          <w:szCs w:val="32"/>
          <w:highlight w:val="none"/>
          <w:lang w:eastAsia="zh-CN"/>
        </w:rPr>
        <w:t>&gt;=9次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8DC2A0A">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：发放人数，指标值：</w:t>
      </w:r>
      <w:r>
        <w:rPr>
          <w:rFonts w:hint="eastAsia" w:eastAsia="仿宋_GB2312" w:cs="Times New Roman"/>
          <w:sz w:val="32"/>
          <w:szCs w:val="32"/>
          <w:highlight w:val="none"/>
          <w:lang w:eastAsia="zh-CN"/>
        </w:rPr>
        <w:t>&gt;=162人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=162人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FA102C2">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14:paraId="2FE58E1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7D34714A">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指标1：资金拨付率，指标值：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5B0AFE2">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：资金发放准确率，指标值：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EEC08FB">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14:paraId="0F14153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4D399E12">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指标1：资金发放及时率，指标值：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B70E5FF">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14:paraId="39A4895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58F85B92">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指标1：工作人员保障成本，指标值：&lt;=0.24万元/人，实际完成值：</w:t>
      </w:r>
      <w:r>
        <w:rPr>
          <w:rFonts w:hint="eastAsia" w:eastAsia="仿宋_GB2312" w:cs="Times New Roman"/>
          <w:sz w:val="32"/>
          <w:szCs w:val="32"/>
          <w:highlight w:val="none"/>
          <w:lang w:val="en-US" w:eastAsia="zh-CN"/>
        </w:rPr>
        <w:t>=0.24万元/人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785FE0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14:paraId="68E49E2F">
      <w:pPr>
        <w:pStyle w:val="11"/>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264948A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1A364D4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3D76D0B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14:paraId="62B0C2A0">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指标1：提升各村人员工作动力，指标值：有所提升，实际完成值：有所提升，指标完成率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0F1C211">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此项权重分值为20分，得分为20分。</w:t>
      </w:r>
    </w:p>
    <w:p w14:paraId="424A2D6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3B48B3AC">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本项目未设置满意度指标</w:t>
      </w:r>
      <w:r>
        <w:rPr>
          <w:rFonts w:hint="eastAsia" w:eastAsia="仿宋_GB2312" w:cs="Times New Roman"/>
          <w:sz w:val="32"/>
          <w:szCs w:val="32"/>
          <w:highlight w:val="none"/>
          <w:lang w:eastAsia="zh-CN"/>
        </w:rPr>
        <w:t>。</w:t>
      </w:r>
    </w:p>
    <w:p w14:paraId="193C2B2F">
      <w:pPr>
        <w:spacing w:line="560" w:lineRule="exact"/>
        <w:ind w:firstLine="643" w:firstLineChars="200"/>
        <w:rPr>
          <w:rFonts w:hint="default" w:ascii="Times New Roman" w:hAnsi="Times New Roman" w:eastAsia="楷体_GB2312" w:cs="Times New Roman"/>
          <w:b/>
          <w:bCs/>
          <w:sz w:val="32"/>
          <w:szCs w:val="32"/>
          <w:highlight w:val="none"/>
          <w:lang w:val="en-U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rPr>
        <w:t>预算执行进度与绩效指标总体完成率偏差</w:t>
      </w:r>
    </w:p>
    <w:p w14:paraId="285EA487">
      <w:pPr>
        <w:pStyle w:val="21"/>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才坎诺尔乡人民政府乡村工作人员工资、补助</w:t>
      </w:r>
      <w:r>
        <w:rPr>
          <w:rFonts w:hint="default" w:ascii="Times New Roman" w:hAnsi="Times New Roman" w:eastAsia="方正仿宋_GBK" w:cs="Times New Roman"/>
          <w:sz w:val="32"/>
          <w:szCs w:val="32"/>
          <w:highlight w:val="none"/>
        </w:rPr>
        <w:t>项目年初预算</w:t>
      </w:r>
      <w:r>
        <w:rPr>
          <w:rFonts w:hint="default" w:ascii="Times New Roman" w:hAnsi="Times New Roman" w:eastAsia="方正仿宋_GBK" w:cs="Times New Roman"/>
          <w:sz w:val="32"/>
          <w:szCs w:val="32"/>
          <w:highlight w:val="none"/>
          <w:lang w:val="en-US" w:eastAsia="zh-CN"/>
        </w:rPr>
        <w:t>39.38</w:t>
      </w:r>
      <w:r>
        <w:rPr>
          <w:rFonts w:hint="default" w:ascii="Times New Roman" w:hAnsi="Times New Roman" w:eastAsia="方正仿宋_GBK" w:cs="Times New Roman"/>
          <w:sz w:val="32"/>
          <w:szCs w:val="32"/>
          <w:highlight w:val="none"/>
        </w:rPr>
        <w:t>万元，全年预算</w:t>
      </w:r>
      <w:r>
        <w:rPr>
          <w:rFonts w:hint="default" w:ascii="Times New Roman" w:hAnsi="Times New Roman" w:eastAsia="方正仿宋_GBK" w:cs="Times New Roman"/>
          <w:sz w:val="32"/>
          <w:szCs w:val="32"/>
          <w:highlight w:val="none"/>
          <w:lang w:val="en-US" w:eastAsia="zh-CN"/>
        </w:rPr>
        <w:t>39.38</w:t>
      </w:r>
      <w:r>
        <w:rPr>
          <w:rFonts w:hint="default" w:ascii="Times New Roman" w:hAnsi="Times New Roman" w:eastAsia="方正仿宋_GBK" w:cs="Times New Roman"/>
          <w:sz w:val="32"/>
          <w:szCs w:val="32"/>
          <w:highlight w:val="none"/>
        </w:rPr>
        <w:t>万元，实际支出</w:t>
      </w:r>
      <w:r>
        <w:rPr>
          <w:rFonts w:hint="default" w:ascii="Times New Roman" w:hAnsi="Times New Roman" w:eastAsia="方正仿宋_GBK" w:cs="Times New Roman"/>
          <w:sz w:val="32"/>
          <w:szCs w:val="32"/>
          <w:highlight w:val="none"/>
          <w:lang w:val="en-US" w:eastAsia="zh-CN"/>
        </w:rPr>
        <w:t>39.38</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%，总体偏差率为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p>
    <w:p w14:paraId="144E0934">
      <w:pPr>
        <w:spacing w:line="560" w:lineRule="exact"/>
        <w:ind w:firstLine="640" w:firstLineChars="200"/>
        <w:rPr>
          <w:rStyle w:val="20"/>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497E4189">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6FC311F1">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1.规范资金管理流程：资金发放前，仔细核对人员信息、工资标准，经</w:t>
      </w:r>
      <w:r>
        <w:rPr>
          <w:rFonts w:hint="eastAsia" w:eastAsia="仿宋_GB2312" w:cs="Times New Roman"/>
          <w:sz w:val="32"/>
          <w:szCs w:val="32"/>
          <w:highlight w:val="none"/>
          <w:lang w:val="en-US" w:eastAsia="zh-CN"/>
        </w:rPr>
        <w:t>村“两委”</w:t>
      </w:r>
      <w:r>
        <w:rPr>
          <w:rFonts w:hint="eastAsia" w:ascii="Times New Roman" w:hAnsi="Times New Roman" w:eastAsia="仿宋_GB2312" w:cs="Times New Roman"/>
          <w:sz w:val="32"/>
          <w:szCs w:val="32"/>
          <w:highlight w:val="none"/>
          <w:lang w:val="en-US" w:eastAsia="zh-CN"/>
        </w:rPr>
        <w:t>、村民代表监督小组审核后，通过银行代发，保障工资发放准确及时，工资发放准确率达100%。</w:t>
      </w:r>
    </w:p>
    <w:p w14:paraId="2B2AF60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强化沟通与反馈机制：定期召开村干部座谈会，收集对工资发放的意见建议。针对提出的问题，如绩效指标不合理、工资调整机制不灵活等，及时研究调整。同时，向村干部宣传工资政策与绩效评价标准，增进理解，促进工作配合。</w:t>
      </w:r>
    </w:p>
    <w:p w14:paraId="24CDA43B">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456FFB6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w:t>
      </w:r>
      <w:r>
        <w:rPr>
          <w:rFonts w:hint="eastAsia" w:eastAsia="仿宋_GB2312" w:cs="Times New Roman"/>
          <w:sz w:val="32"/>
          <w:szCs w:val="32"/>
          <w:highlight w:val="none"/>
          <w:lang w:val="en-US" w:eastAsia="zh-CN"/>
        </w:rPr>
        <w:t>由于</w:t>
      </w:r>
      <w:r>
        <w:rPr>
          <w:rFonts w:hint="default" w:ascii="Times New Roman" w:hAnsi="Times New Roman" w:eastAsia="仿宋_GB2312" w:cs="Times New Roman"/>
          <w:sz w:val="32"/>
          <w:szCs w:val="32"/>
          <w:highlight w:val="none"/>
          <w:lang w:val="en-US" w:eastAsia="zh-CN"/>
        </w:rPr>
        <w:t>部分人员缺乏相关绩效管理专业知识，自评价工作还存在自我审定的局限性，影响评价质量。</w:t>
      </w:r>
    </w:p>
    <w:p w14:paraId="168A95C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2.因轮岗、调动等因素使我单位绩效工作人员流动频繁，造成工作衔接不到位的情况。</w:t>
      </w:r>
    </w:p>
    <w:p w14:paraId="3FBBE5DC">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560D951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1.对相关人员加强培训，特别是针对《中华人民共和国预算法》《行政事业单位会计制度》等学习培训，规范部门预算收支核算，切实提高部门预算收支管理水平。</w:t>
      </w:r>
    </w:p>
    <w:p w14:paraId="3168B5F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2.进一步加强单位内部机构</w:t>
      </w:r>
      <w:r>
        <w:rPr>
          <w:rFonts w:hint="eastAsia" w:eastAsia="仿宋_GB2312" w:cs="Times New Roman"/>
          <w:sz w:val="32"/>
          <w:szCs w:val="32"/>
          <w:highlight w:val="none"/>
          <w:lang w:val="en-US" w:eastAsia="zh-CN"/>
        </w:rPr>
        <w:t>人员</w:t>
      </w:r>
      <w:r>
        <w:rPr>
          <w:rFonts w:hint="default" w:ascii="Times New Roman" w:hAnsi="Times New Roman" w:eastAsia="仿宋_GB2312" w:cs="Times New Roman"/>
          <w:sz w:val="32"/>
          <w:szCs w:val="32"/>
          <w:highlight w:val="none"/>
          <w:lang w:val="en-US" w:eastAsia="zh-CN"/>
        </w:rPr>
        <w:t>的预算管理意识，严格按照预算编制的相关制度和要求进行预算编制，进一步提高预算编制的科学性、严谨性和可控性。</w:t>
      </w:r>
    </w:p>
    <w:p w14:paraId="5C798B38">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3.加强与财政部门的紧密配合，开展好整体支出及项目资金绩效管理工作，运用好绩效评价的结果，不断提升预算管理水平。</w:t>
      </w:r>
    </w:p>
    <w:p w14:paraId="19F24455">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47B76856">
      <w:pPr>
        <w:pStyle w:val="12"/>
        <w:spacing w:after="0" w:line="560" w:lineRule="exact"/>
        <w:ind w:left="0" w:leftChars="0" w:firstLine="64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无</w:t>
      </w:r>
      <w:r>
        <w:rPr>
          <w:rFonts w:hint="default" w:ascii="Times New Roman" w:hAnsi="Times New Roman" w:eastAsia="仿宋_GB2312" w:cs="Times New Roman"/>
          <w:sz w:val="32"/>
          <w:szCs w:val="32"/>
          <w:highlight w:val="none"/>
        </w:rPr>
        <w:t>。</w:t>
      </w:r>
    </w:p>
    <w:p w14:paraId="5967CC40">
      <w:pPr>
        <w:pStyle w:val="12"/>
        <w:spacing w:after="0" w:line="560" w:lineRule="exact"/>
        <w:ind w:left="0" w:leftChars="0" w:firstLine="0" w:firstLineChars="0"/>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63587838">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4F0DF143">
      <w:pPr>
        <w:pStyle w:val="21"/>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才坎诺尔乡人民政府乡村工作人员工资、补助</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3"/>
        <w:tblW w:w="1268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14:paraId="56557C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4A18970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997" w:type="dxa"/>
            <w:shd w:val="clear" w:color="auto" w:fill="FFFFFF"/>
            <w:vAlign w:val="center"/>
          </w:tcPr>
          <w:p w14:paraId="620A7A1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02274EA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6" w:type="dxa"/>
            <w:shd w:val="clear" w:color="auto" w:fill="FFFFFF"/>
            <w:vAlign w:val="center"/>
          </w:tcPr>
          <w:p w14:paraId="7FBF7A4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22" w:type="dxa"/>
            <w:shd w:val="clear" w:color="auto" w:fill="FFFFFF"/>
            <w:vAlign w:val="center"/>
          </w:tcPr>
          <w:p w14:paraId="298CA7B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299" w:type="dxa"/>
            <w:shd w:val="clear" w:color="auto" w:fill="FFFFFF"/>
            <w:vAlign w:val="center"/>
          </w:tcPr>
          <w:p w14:paraId="4496505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6" w:type="dxa"/>
            <w:shd w:val="clear" w:color="auto" w:fill="FFFFFF"/>
            <w:vAlign w:val="center"/>
          </w:tcPr>
          <w:p w14:paraId="675101E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6C50F3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7F8DEF1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B0A215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F4AD9B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7F8D8D6">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7A507F8">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907952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109966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997" w:type="dxa"/>
            <w:vMerge w:val="restart"/>
            <w:shd w:val="clear" w:color="auto" w:fill="FFFFFF"/>
            <w:vAlign w:val="center"/>
          </w:tcPr>
          <w:p w14:paraId="6156EB5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220A81A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483B210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14:paraId="2CD3305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22" w:type="dxa"/>
            <w:shd w:val="clear" w:color="auto" w:fill="FFFFFF"/>
            <w:vAlign w:val="center"/>
          </w:tcPr>
          <w:p w14:paraId="0FD3E83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299" w:type="dxa"/>
            <w:shd w:val="clear" w:color="auto" w:fill="FFFFFF"/>
            <w:vAlign w:val="center"/>
          </w:tcPr>
          <w:p w14:paraId="65D56A1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3A9FF6D2">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3</w:t>
            </w:r>
          </w:p>
        </w:tc>
      </w:tr>
      <w:tr w14:paraId="22DD6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7427A27B">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0CA3DBD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50BF0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38819CA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14:paraId="042CC58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22" w:type="dxa"/>
            <w:shd w:val="clear" w:color="auto" w:fill="FFFFFF"/>
            <w:vAlign w:val="center"/>
          </w:tcPr>
          <w:p w14:paraId="26637DE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299" w:type="dxa"/>
            <w:shd w:val="clear" w:color="auto" w:fill="FFFFFF"/>
            <w:vAlign w:val="center"/>
          </w:tcPr>
          <w:p w14:paraId="6ED0B7C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2DE12FC7">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3</w:t>
            </w:r>
          </w:p>
        </w:tc>
      </w:tr>
      <w:tr w14:paraId="7D2DB2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7809300A">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0BCACC5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3EEF9DB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7B60D44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14:paraId="0DDEF9C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22" w:type="dxa"/>
            <w:shd w:val="clear" w:color="000000" w:fill="FFFFFF"/>
            <w:vAlign w:val="center"/>
          </w:tcPr>
          <w:p w14:paraId="0831FEE6">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73AC8AD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299" w:type="dxa"/>
            <w:shd w:val="clear" w:color="000000" w:fill="FFFFFF"/>
            <w:vAlign w:val="center"/>
          </w:tcPr>
          <w:p w14:paraId="13F551A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21C6D7F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3</w:t>
            </w:r>
          </w:p>
        </w:tc>
      </w:tr>
      <w:tr w14:paraId="04B8D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2A5B444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57C4CA3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9AECA9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31BAFC7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6" w:type="dxa"/>
            <w:shd w:val="clear" w:color="000000" w:fill="FFFFFF"/>
            <w:vAlign w:val="center"/>
          </w:tcPr>
          <w:p w14:paraId="01EF65A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22" w:type="dxa"/>
            <w:shd w:val="clear" w:color="000000" w:fill="FFFFFF"/>
            <w:vAlign w:val="center"/>
          </w:tcPr>
          <w:p w14:paraId="692F78F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299" w:type="dxa"/>
            <w:shd w:val="clear" w:color="000000" w:fill="FFFFFF"/>
            <w:vAlign w:val="center"/>
          </w:tcPr>
          <w:p w14:paraId="1AA9D2E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53E9C0E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3</w:t>
            </w:r>
          </w:p>
        </w:tc>
      </w:tr>
      <w:tr w14:paraId="338DE0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4C64049B">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00FE76E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7CEEEAB1">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725D325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54C5A3D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6" w:type="dxa"/>
            <w:shd w:val="clear" w:color="auto" w:fill="FFFFFF"/>
            <w:vAlign w:val="center"/>
          </w:tcPr>
          <w:p w14:paraId="2598F47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22" w:type="dxa"/>
            <w:shd w:val="clear" w:color="auto" w:fill="FFFFFF"/>
            <w:vAlign w:val="center"/>
          </w:tcPr>
          <w:p w14:paraId="36AEBB5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299" w:type="dxa"/>
            <w:shd w:val="clear" w:color="auto" w:fill="FFFFFF"/>
            <w:vAlign w:val="center"/>
          </w:tcPr>
          <w:p w14:paraId="2577E1D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6B29172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14:paraId="30D947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2F21CC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26BD399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D5A3DC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25E2127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auto" w:fill="FFFFFF"/>
            <w:vAlign w:val="center"/>
          </w:tcPr>
          <w:p w14:paraId="31E6C61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22" w:type="dxa"/>
            <w:shd w:val="clear" w:color="auto" w:fill="FFFFFF"/>
            <w:vAlign w:val="center"/>
          </w:tcPr>
          <w:p w14:paraId="4874807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299" w:type="dxa"/>
            <w:shd w:val="clear" w:color="auto" w:fill="FFFFFF"/>
            <w:vAlign w:val="center"/>
          </w:tcPr>
          <w:p w14:paraId="3228654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581510C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14:paraId="1E48D5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0FB2323B">
            <w:pPr>
              <w:spacing w:line="0" w:lineRule="atLeast"/>
              <w:jc w:val="center"/>
              <w:rPr>
                <w:rFonts w:hint="default" w:ascii="Times New Roman" w:hAnsi="Times New Roman" w:eastAsia="仿宋_GB2312" w:cs="Times New Roman"/>
                <w:color w:val="000000"/>
                <w:kern w:val="0"/>
                <w:sz w:val="18"/>
                <w:szCs w:val="18"/>
                <w:highlight w:val="none"/>
              </w:rPr>
            </w:pPr>
          </w:p>
          <w:p w14:paraId="5AF94E79">
            <w:pPr>
              <w:spacing w:line="0" w:lineRule="atLeast"/>
              <w:jc w:val="center"/>
              <w:rPr>
                <w:rFonts w:hint="default" w:ascii="Times New Roman" w:hAnsi="Times New Roman" w:eastAsia="仿宋_GB2312" w:cs="Times New Roman"/>
                <w:color w:val="000000"/>
                <w:kern w:val="0"/>
                <w:sz w:val="18"/>
                <w:szCs w:val="18"/>
                <w:highlight w:val="none"/>
              </w:rPr>
            </w:pPr>
          </w:p>
          <w:p w14:paraId="2CA4101B">
            <w:pPr>
              <w:spacing w:line="0" w:lineRule="atLeast"/>
              <w:jc w:val="center"/>
              <w:rPr>
                <w:rFonts w:hint="default" w:ascii="Times New Roman" w:hAnsi="Times New Roman" w:eastAsia="仿宋_GB2312" w:cs="Times New Roman"/>
                <w:color w:val="000000"/>
                <w:kern w:val="0"/>
                <w:sz w:val="18"/>
                <w:szCs w:val="18"/>
                <w:highlight w:val="none"/>
              </w:rPr>
            </w:pPr>
          </w:p>
          <w:p w14:paraId="2FC403F9">
            <w:pPr>
              <w:spacing w:line="0" w:lineRule="atLeast"/>
              <w:jc w:val="center"/>
              <w:rPr>
                <w:rFonts w:hint="default" w:ascii="Times New Roman" w:hAnsi="Times New Roman" w:eastAsia="仿宋_GB2312" w:cs="Times New Roman"/>
                <w:color w:val="000000"/>
                <w:kern w:val="0"/>
                <w:sz w:val="18"/>
                <w:szCs w:val="18"/>
                <w:highlight w:val="none"/>
              </w:rPr>
            </w:pPr>
          </w:p>
          <w:p w14:paraId="3A5A22CF">
            <w:pPr>
              <w:spacing w:line="0" w:lineRule="atLeast"/>
              <w:jc w:val="center"/>
              <w:rPr>
                <w:rFonts w:hint="default" w:ascii="Times New Roman" w:hAnsi="Times New Roman" w:eastAsia="仿宋_GB2312" w:cs="Times New Roman"/>
                <w:color w:val="000000"/>
                <w:kern w:val="0"/>
                <w:sz w:val="18"/>
                <w:szCs w:val="18"/>
                <w:highlight w:val="none"/>
              </w:rPr>
            </w:pPr>
          </w:p>
          <w:p w14:paraId="1410AAD8">
            <w:pPr>
              <w:spacing w:line="0" w:lineRule="atLeast"/>
              <w:jc w:val="center"/>
              <w:rPr>
                <w:rFonts w:hint="default" w:ascii="Times New Roman" w:hAnsi="Times New Roman" w:eastAsia="仿宋_GB2312" w:cs="Times New Roman"/>
                <w:color w:val="000000"/>
                <w:kern w:val="0"/>
                <w:sz w:val="18"/>
                <w:szCs w:val="18"/>
                <w:highlight w:val="none"/>
              </w:rPr>
            </w:pPr>
          </w:p>
          <w:p w14:paraId="3BF02D6A">
            <w:pPr>
              <w:spacing w:line="0" w:lineRule="atLeast"/>
              <w:jc w:val="center"/>
              <w:rPr>
                <w:rFonts w:hint="default" w:ascii="Times New Roman" w:hAnsi="Times New Roman" w:eastAsia="仿宋_GB2312" w:cs="Times New Roman"/>
                <w:color w:val="000000"/>
                <w:kern w:val="0"/>
                <w:sz w:val="18"/>
                <w:szCs w:val="18"/>
                <w:highlight w:val="none"/>
              </w:rPr>
            </w:pPr>
          </w:p>
          <w:p w14:paraId="5D3A19B2">
            <w:pPr>
              <w:spacing w:line="0" w:lineRule="atLeast"/>
              <w:jc w:val="center"/>
              <w:rPr>
                <w:rFonts w:hint="default" w:ascii="Times New Roman" w:hAnsi="Times New Roman" w:eastAsia="仿宋_GB2312" w:cs="Times New Roman"/>
                <w:color w:val="000000"/>
                <w:kern w:val="0"/>
                <w:sz w:val="18"/>
                <w:szCs w:val="18"/>
                <w:highlight w:val="none"/>
              </w:rPr>
            </w:pPr>
          </w:p>
          <w:p w14:paraId="33CE8F21">
            <w:pPr>
              <w:spacing w:line="0" w:lineRule="atLeast"/>
              <w:jc w:val="center"/>
              <w:rPr>
                <w:rFonts w:hint="default" w:ascii="Times New Roman" w:hAnsi="Times New Roman" w:eastAsia="仿宋_GB2312" w:cs="Times New Roman"/>
                <w:color w:val="000000"/>
                <w:kern w:val="0"/>
                <w:sz w:val="18"/>
                <w:szCs w:val="18"/>
                <w:highlight w:val="none"/>
              </w:rPr>
            </w:pPr>
          </w:p>
          <w:p w14:paraId="4AD876F5">
            <w:pPr>
              <w:spacing w:line="0" w:lineRule="atLeast"/>
              <w:jc w:val="center"/>
              <w:rPr>
                <w:rFonts w:hint="default" w:ascii="Times New Roman" w:hAnsi="Times New Roman" w:eastAsia="仿宋_GB2312" w:cs="Times New Roman"/>
                <w:color w:val="000000"/>
                <w:kern w:val="0"/>
                <w:sz w:val="18"/>
                <w:szCs w:val="18"/>
                <w:highlight w:val="none"/>
              </w:rPr>
            </w:pPr>
          </w:p>
          <w:p w14:paraId="13ADD351">
            <w:pPr>
              <w:spacing w:line="0" w:lineRule="atLeast"/>
              <w:jc w:val="center"/>
              <w:rPr>
                <w:rFonts w:hint="default" w:ascii="Times New Roman" w:hAnsi="Times New Roman" w:eastAsia="仿宋_GB2312" w:cs="Times New Roman"/>
                <w:color w:val="000000"/>
                <w:kern w:val="0"/>
                <w:sz w:val="18"/>
                <w:szCs w:val="18"/>
                <w:highlight w:val="none"/>
              </w:rPr>
            </w:pPr>
          </w:p>
          <w:p w14:paraId="696897BD">
            <w:pPr>
              <w:spacing w:line="0" w:lineRule="atLeast"/>
              <w:jc w:val="center"/>
              <w:rPr>
                <w:rFonts w:hint="default" w:ascii="Times New Roman" w:hAnsi="Times New Roman" w:eastAsia="仿宋_GB2312" w:cs="Times New Roman"/>
                <w:color w:val="000000"/>
                <w:kern w:val="0"/>
                <w:sz w:val="18"/>
                <w:szCs w:val="18"/>
                <w:highlight w:val="none"/>
              </w:rPr>
            </w:pPr>
          </w:p>
          <w:p w14:paraId="184034F9">
            <w:pPr>
              <w:spacing w:line="0" w:lineRule="atLeast"/>
              <w:jc w:val="center"/>
              <w:rPr>
                <w:rFonts w:hint="default" w:ascii="Times New Roman" w:hAnsi="Times New Roman" w:eastAsia="仿宋_GB2312" w:cs="Times New Roman"/>
                <w:color w:val="000000"/>
                <w:kern w:val="0"/>
                <w:sz w:val="18"/>
                <w:szCs w:val="18"/>
                <w:highlight w:val="none"/>
              </w:rPr>
            </w:pPr>
          </w:p>
          <w:p w14:paraId="29136268">
            <w:pPr>
              <w:spacing w:line="0" w:lineRule="atLeast"/>
              <w:jc w:val="center"/>
              <w:rPr>
                <w:rFonts w:hint="default" w:ascii="Times New Roman" w:hAnsi="Times New Roman" w:eastAsia="仿宋_GB2312" w:cs="Times New Roman"/>
                <w:color w:val="000000"/>
                <w:kern w:val="0"/>
                <w:sz w:val="18"/>
                <w:szCs w:val="18"/>
                <w:highlight w:val="none"/>
              </w:rPr>
            </w:pPr>
          </w:p>
          <w:p w14:paraId="3531C444">
            <w:pPr>
              <w:spacing w:line="0" w:lineRule="atLeast"/>
              <w:jc w:val="center"/>
              <w:rPr>
                <w:rFonts w:hint="default" w:ascii="Times New Roman" w:hAnsi="Times New Roman" w:eastAsia="仿宋_GB2312" w:cs="Times New Roman"/>
                <w:color w:val="000000"/>
                <w:kern w:val="0"/>
                <w:sz w:val="18"/>
                <w:szCs w:val="18"/>
                <w:highlight w:val="none"/>
              </w:rPr>
            </w:pPr>
          </w:p>
          <w:p w14:paraId="548B078B">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7E1AA6E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997" w:type="dxa"/>
            <w:vMerge w:val="restart"/>
            <w:shd w:val="clear" w:color="auto" w:fill="FFFFFF"/>
            <w:vAlign w:val="center"/>
          </w:tcPr>
          <w:p w14:paraId="054DCFD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7BDD6CE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6" w:type="dxa"/>
            <w:shd w:val="clear" w:color="000000" w:fill="FFFFFF"/>
            <w:vAlign w:val="center"/>
          </w:tcPr>
          <w:p w14:paraId="4C65587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22" w:type="dxa"/>
            <w:shd w:val="clear" w:color="000000" w:fill="FFFFFF"/>
            <w:vAlign w:val="center"/>
          </w:tcPr>
          <w:p w14:paraId="348E387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126D0DC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080FB4A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299" w:type="dxa"/>
            <w:shd w:val="clear" w:color="000000" w:fill="FFFFFF"/>
            <w:vAlign w:val="center"/>
          </w:tcPr>
          <w:p w14:paraId="3522298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4168EBD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14:paraId="495077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48FD9B12">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4EE04D38">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7F46AD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6" w:type="dxa"/>
            <w:shd w:val="clear" w:color="auto" w:fill="FFFFFF"/>
            <w:vAlign w:val="center"/>
          </w:tcPr>
          <w:p w14:paraId="770E7D1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22" w:type="dxa"/>
            <w:shd w:val="clear" w:color="auto" w:fill="FFFFFF"/>
            <w:vAlign w:val="center"/>
          </w:tcPr>
          <w:p w14:paraId="3FCC80E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299" w:type="dxa"/>
            <w:shd w:val="clear" w:color="auto" w:fill="FFFFFF"/>
            <w:vAlign w:val="center"/>
          </w:tcPr>
          <w:p w14:paraId="577380F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2132260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14:paraId="751C5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40B23A7">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004F491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66199E2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2A0EF0D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6" w:type="dxa"/>
            <w:shd w:val="clear" w:color="000000" w:fill="FFFFFF"/>
            <w:vAlign w:val="center"/>
          </w:tcPr>
          <w:p w14:paraId="05D19F9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22" w:type="dxa"/>
            <w:shd w:val="clear" w:color="000000" w:fill="FFFFFF"/>
            <w:vAlign w:val="center"/>
          </w:tcPr>
          <w:p w14:paraId="2A8E6FE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299" w:type="dxa"/>
            <w:shd w:val="clear" w:color="000000" w:fill="FFFFFF"/>
            <w:vAlign w:val="center"/>
          </w:tcPr>
          <w:p w14:paraId="49C56FC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10FCF18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14:paraId="1C1C0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2F7F75C">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restart"/>
            <w:shd w:val="clear" w:color="auto" w:fill="FFFFFF"/>
            <w:vAlign w:val="center"/>
          </w:tcPr>
          <w:p w14:paraId="2F388CF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6CDE45F0">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233053E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13B96DC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6" w:type="dxa"/>
            <w:shd w:val="clear" w:color="000000" w:fill="FFFFFF"/>
            <w:vAlign w:val="center"/>
          </w:tcPr>
          <w:p w14:paraId="47FFC2F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22" w:type="dxa"/>
            <w:shd w:val="clear" w:color="000000" w:fill="FFFFFF"/>
            <w:vAlign w:val="center"/>
          </w:tcPr>
          <w:p w14:paraId="68BCBC8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299" w:type="dxa"/>
            <w:shd w:val="clear" w:color="000000" w:fill="FFFFFF"/>
            <w:vAlign w:val="center"/>
          </w:tcPr>
          <w:p w14:paraId="02A3D33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7A44856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14:paraId="150601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6722997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vMerge w:val="continue"/>
            <w:shd w:val="clear" w:color="auto" w:fill="FFFFFF"/>
            <w:vAlign w:val="center"/>
          </w:tcPr>
          <w:p w14:paraId="05B9A58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260364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3B9EAE0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6" w:type="dxa"/>
            <w:shd w:val="clear" w:color="000000" w:fill="FFFFFF"/>
            <w:vAlign w:val="center"/>
          </w:tcPr>
          <w:p w14:paraId="2ECCEC1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22" w:type="dxa"/>
            <w:shd w:val="clear" w:color="000000" w:fill="FFFFFF"/>
            <w:vAlign w:val="center"/>
          </w:tcPr>
          <w:p w14:paraId="28BF1CF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299" w:type="dxa"/>
            <w:shd w:val="clear" w:color="000000" w:fill="FFFFFF"/>
            <w:vAlign w:val="center"/>
          </w:tcPr>
          <w:p w14:paraId="2EA3576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7F3F792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4</w:t>
            </w:r>
          </w:p>
        </w:tc>
      </w:tr>
      <w:tr w14:paraId="1D9CF9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44" w:hRule="atLeast"/>
          <w:jc w:val="center"/>
        </w:trPr>
        <w:tc>
          <w:tcPr>
            <w:tcW w:w="1002" w:type="dxa"/>
            <w:vMerge w:val="restart"/>
            <w:shd w:val="clear" w:color="auto" w:fill="FFFFFF"/>
            <w:vAlign w:val="center"/>
          </w:tcPr>
          <w:p w14:paraId="2D38FF6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997" w:type="dxa"/>
            <w:shd w:val="clear" w:color="auto" w:fill="FFFFFF"/>
            <w:vAlign w:val="center"/>
          </w:tcPr>
          <w:p w14:paraId="038653D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2DE77BD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14:paraId="68E67AD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22" w:type="dxa"/>
            <w:shd w:val="clear" w:color="000000" w:fill="FFFFFF"/>
            <w:vAlign w:val="center"/>
          </w:tcPr>
          <w:p w14:paraId="0D58071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299" w:type="dxa"/>
            <w:shd w:val="clear" w:color="000000" w:fill="FFFFFF"/>
            <w:vAlign w:val="center"/>
          </w:tcPr>
          <w:p w14:paraId="100C425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478A8F6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10</w:t>
            </w:r>
          </w:p>
        </w:tc>
      </w:tr>
      <w:tr w14:paraId="05231D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1002" w:type="dxa"/>
            <w:vMerge w:val="continue"/>
            <w:shd w:val="clear" w:color="auto" w:fill="FFFFFF"/>
            <w:vAlign w:val="center"/>
          </w:tcPr>
          <w:p w14:paraId="0DD8F6D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6719841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16F1A8D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14:paraId="73C8268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22" w:type="dxa"/>
            <w:shd w:val="clear" w:color="000000" w:fill="FFFFFF"/>
            <w:vAlign w:val="center"/>
          </w:tcPr>
          <w:p w14:paraId="61A2B09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EF5567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14:paraId="4DA3DC6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29B192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10</w:t>
            </w:r>
          </w:p>
        </w:tc>
      </w:tr>
      <w:tr w14:paraId="025F05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217260ED">
            <w:pPr>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3F1CD810">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2A62A08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14:paraId="71F60CA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22" w:type="dxa"/>
            <w:shd w:val="clear" w:color="000000" w:fill="FFFFFF"/>
            <w:vAlign w:val="center"/>
          </w:tcPr>
          <w:p w14:paraId="27120B1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299" w:type="dxa"/>
            <w:shd w:val="clear" w:color="000000" w:fill="FFFFFF"/>
            <w:vAlign w:val="center"/>
          </w:tcPr>
          <w:p w14:paraId="1248B55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5017873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10</w:t>
            </w:r>
          </w:p>
        </w:tc>
      </w:tr>
      <w:tr w14:paraId="15E66E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78" w:hRule="atLeast"/>
          <w:jc w:val="center"/>
        </w:trPr>
        <w:tc>
          <w:tcPr>
            <w:tcW w:w="1002" w:type="dxa"/>
            <w:vMerge w:val="continue"/>
            <w:shd w:val="clear" w:color="auto" w:fill="FFFFFF"/>
            <w:vAlign w:val="center"/>
          </w:tcPr>
          <w:p w14:paraId="6FC73DB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997" w:type="dxa"/>
            <w:shd w:val="clear" w:color="auto" w:fill="FFFFFF"/>
            <w:vAlign w:val="center"/>
          </w:tcPr>
          <w:p w14:paraId="7D250D7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30C52A9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w:t>
            </w:r>
            <w:r>
              <w:rPr>
                <w:rFonts w:hint="eastAsia" w:eastAsia="仿宋_GB2312" w:cs="Times New Roman"/>
                <w:color w:val="000000"/>
                <w:kern w:val="0"/>
                <w:sz w:val="18"/>
                <w:szCs w:val="18"/>
                <w:highlight w:val="none"/>
                <w:lang w:val="en-US" w:eastAsia="zh-CN"/>
              </w:rPr>
              <w:t>完成</w:t>
            </w:r>
            <w:r>
              <w:rPr>
                <w:rFonts w:hint="default" w:ascii="Times New Roman" w:hAnsi="Times New Roman" w:eastAsia="仿宋_GB2312" w:cs="Times New Roman"/>
                <w:color w:val="000000"/>
                <w:kern w:val="0"/>
                <w:sz w:val="18"/>
                <w:szCs w:val="18"/>
                <w:highlight w:val="none"/>
              </w:rPr>
              <w:t>率</w:t>
            </w:r>
          </w:p>
        </w:tc>
        <w:tc>
          <w:tcPr>
            <w:tcW w:w="1726" w:type="dxa"/>
            <w:shd w:val="clear" w:color="000000" w:fill="FFFFFF"/>
            <w:vAlign w:val="center"/>
          </w:tcPr>
          <w:p w14:paraId="5A093BF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w:t>
            </w:r>
            <w:r>
              <w:rPr>
                <w:rFonts w:hint="eastAsia" w:eastAsia="仿宋_GB2312" w:cs="Times New Roman"/>
                <w:color w:val="000000"/>
                <w:kern w:val="0"/>
                <w:sz w:val="18"/>
                <w:szCs w:val="18"/>
                <w:highlight w:val="none"/>
                <w:lang w:val="en-US" w:eastAsia="zh-CN"/>
              </w:rPr>
              <w:t>支出资金</w:t>
            </w:r>
            <w:r>
              <w:rPr>
                <w:rFonts w:hint="default" w:ascii="Times New Roman" w:hAnsi="Times New Roman" w:eastAsia="仿宋_GB2312" w:cs="Times New Roman"/>
                <w:color w:val="000000"/>
                <w:kern w:val="0"/>
                <w:sz w:val="18"/>
                <w:szCs w:val="18"/>
                <w:highlight w:val="none"/>
              </w:rPr>
              <w:t>与</w:t>
            </w:r>
            <w:r>
              <w:rPr>
                <w:rFonts w:hint="eastAsia" w:eastAsia="仿宋_GB2312" w:cs="Times New Roman"/>
                <w:color w:val="000000"/>
                <w:kern w:val="0"/>
                <w:sz w:val="18"/>
                <w:szCs w:val="18"/>
                <w:highlight w:val="none"/>
                <w:lang w:val="en-US" w:eastAsia="zh-CN"/>
              </w:rPr>
              <w:t>预算资金</w:t>
            </w:r>
            <w:r>
              <w:rPr>
                <w:rFonts w:hint="default" w:ascii="Times New Roman" w:hAnsi="Times New Roman" w:eastAsia="仿宋_GB2312" w:cs="Times New Roman"/>
                <w:color w:val="000000"/>
                <w:kern w:val="0"/>
                <w:sz w:val="18"/>
                <w:szCs w:val="18"/>
                <w:highlight w:val="none"/>
              </w:rPr>
              <w:t>的比率，用以反映和考核项目的成本</w:t>
            </w:r>
            <w:r>
              <w:rPr>
                <w:rFonts w:hint="eastAsia" w:eastAsia="仿宋_GB2312" w:cs="Times New Roman"/>
                <w:color w:val="000000"/>
                <w:kern w:val="0"/>
                <w:sz w:val="18"/>
                <w:szCs w:val="18"/>
                <w:highlight w:val="none"/>
                <w:lang w:val="en-US" w:eastAsia="zh-CN"/>
              </w:rPr>
              <w:t>完成情况</w:t>
            </w:r>
            <w:r>
              <w:rPr>
                <w:rFonts w:hint="default" w:ascii="Times New Roman" w:hAnsi="Times New Roman" w:eastAsia="仿宋_GB2312" w:cs="Times New Roman"/>
                <w:color w:val="000000"/>
                <w:kern w:val="0"/>
                <w:sz w:val="18"/>
                <w:szCs w:val="18"/>
                <w:highlight w:val="none"/>
              </w:rPr>
              <w:t>。</w:t>
            </w:r>
          </w:p>
        </w:tc>
        <w:tc>
          <w:tcPr>
            <w:tcW w:w="5222" w:type="dxa"/>
            <w:shd w:val="clear" w:color="000000" w:fill="FFFFFF"/>
            <w:vAlign w:val="center"/>
          </w:tcPr>
          <w:p w14:paraId="1601B0E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w:t>
            </w:r>
            <w:r>
              <w:rPr>
                <w:rFonts w:hint="eastAsia" w:eastAsia="仿宋_GB2312" w:cs="Times New Roman"/>
                <w:color w:val="000000"/>
                <w:kern w:val="0"/>
                <w:sz w:val="18"/>
                <w:szCs w:val="18"/>
                <w:highlight w:val="none"/>
                <w:lang w:val="en-US" w:eastAsia="zh-CN"/>
              </w:rPr>
              <w:t>完成</w:t>
            </w:r>
            <w:r>
              <w:rPr>
                <w:rFonts w:hint="default" w:ascii="Times New Roman" w:hAnsi="Times New Roman" w:eastAsia="仿宋_GB2312" w:cs="Times New Roman"/>
                <w:color w:val="000000"/>
                <w:kern w:val="0"/>
                <w:sz w:val="18"/>
                <w:szCs w:val="18"/>
                <w:highlight w:val="none"/>
              </w:rPr>
              <w:t>率=[</w:t>
            </w:r>
            <w:r>
              <w:rPr>
                <w:rFonts w:hint="eastAsia" w:eastAsia="仿宋_GB2312" w:cs="Times New Roman"/>
                <w:color w:val="000000"/>
                <w:kern w:val="0"/>
                <w:sz w:val="18"/>
                <w:szCs w:val="18"/>
                <w:highlight w:val="none"/>
                <w:lang w:val="en-US" w:eastAsia="zh-CN"/>
              </w:rPr>
              <w:t>实际支出资金/预算资金</w:t>
            </w:r>
            <w:r>
              <w:rPr>
                <w:rFonts w:hint="default" w:ascii="Times New Roman" w:hAnsi="Times New Roman" w:eastAsia="仿宋_GB2312" w:cs="Times New Roman"/>
                <w:color w:val="000000"/>
                <w:kern w:val="0"/>
                <w:sz w:val="18"/>
                <w:szCs w:val="18"/>
                <w:highlight w:val="none"/>
              </w:rPr>
              <w:t>]×100%。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w:t>
            </w:r>
            <w:r>
              <w:rPr>
                <w:rFonts w:hint="eastAsia" w:eastAsia="仿宋_GB2312" w:cs="Times New Roman"/>
                <w:color w:val="000000"/>
                <w:kern w:val="0"/>
                <w:sz w:val="18"/>
                <w:szCs w:val="18"/>
                <w:highlight w:val="none"/>
                <w:lang w:val="en-US" w:eastAsia="zh-CN"/>
              </w:rPr>
              <w:t>支出资金</w:t>
            </w:r>
            <w:r>
              <w:rPr>
                <w:rFonts w:hint="default" w:ascii="Times New Roman" w:hAnsi="Times New Roman" w:eastAsia="仿宋_GB2312" w:cs="Times New Roman"/>
                <w:color w:val="000000"/>
                <w:kern w:val="0"/>
                <w:sz w:val="18"/>
                <w:szCs w:val="18"/>
                <w:highlight w:val="none"/>
              </w:rPr>
              <w:t>：</w:t>
            </w:r>
            <w:r>
              <w:rPr>
                <w:rFonts w:hint="eastAsia" w:eastAsia="仿宋_GB2312" w:cs="Times New Roman"/>
                <w:color w:val="000000"/>
                <w:kern w:val="0"/>
                <w:sz w:val="18"/>
                <w:szCs w:val="18"/>
                <w:highlight w:val="none"/>
                <w:lang w:val="en-US" w:eastAsia="zh-CN"/>
              </w:rPr>
              <w:t>一定时期（本年度或项目期）内项目实际拨付的资金</w:t>
            </w:r>
            <w:r>
              <w:rPr>
                <w:rFonts w:hint="default" w:ascii="Times New Roman" w:hAnsi="Times New Roman" w:eastAsia="仿宋_GB2312" w:cs="Times New Roman"/>
                <w:color w:val="000000"/>
                <w:kern w:val="0"/>
                <w:sz w:val="18"/>
                <w:szCs w:val="18"/>
                <w:highlight w:val="none"/>
              </w:rPr>
              <w:t>。</w:t>
            </w:r>
          </w:p>
        </w:tc>
        <w:tc>
          <w:tcPr>
            <w:tcW w:w="1299" w:type="dxa"/>
            <w:shd w:val="clear" w:color="000000" w:fill="FFFFFF"/>
            <w:vAlign w:val="center"/>
          </w:tcPr>
          <w:p w14:paraId="4F3149E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1858618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bidi="ar-SA"/>
              </w:rPr>
            </w:pPr>
            <w:r>
              <w:rPr>
                <w:rFonts w:hint="default" w:ascii="Times New Roman" w:hAnsi="Times New Roman" w:eastAsia="仿宋_GB2312" w:cs="Times New Roman"/>
                <w:b/>
                <w:bCs/>
                <w:color w:val="000000"/>
                <w:kern w:val="0"/>
                <w:sz w:val="18"/>
                <w:szCs w:val="18"/>
                <w:highlight w:val="none"/>
              </w:rPr>
              <w:t>10</w:t>
            </w:r>
          </w:p>
        </w:tc>
      </w:tr>
      <w:tr w14:paraId="1E490D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1002" w:type="dxa"/>
            <w:shd w:val="clear" w:color="auto" w:fill="FFFFFF"/>
            <w:vAlign w:val="center"/>
          </w:tcPr>
          <w:p w14:paraId="29A7EC0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997" w:type="dxa"/>
            <w:shd w:val="clear" w:color="auto" w:fill="FFFFFF"/>
            <w:vAlign w:val="center"/>
          </w:tcPr>
          <w:p w14:paraId="488DB36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0DE12E3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14:paraId="3C379F4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22" w:type="dxa"/>
            <w:shd w:val="clear" w:color="auto" w:fill="FFFFFF"/>
            <w:vAlign w:val="center"/>
          </w:tcPr>
          <w:p w14:paraId="38111C5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299" w:type="dxa"/>
            <w:shd w:val="clear" w:color="auto" w:fill="FFFFFF"/>
            <w:vAlign w:val="center"/>
          </w:tcPr>
          <w:p w14:paraId="749C67E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20</w:t>
            </w:r>
          </w:p>
        </w:tc>
        <w:tc>
          <w:tcPr>
            <w:tcW w:w="1366" w:type="dxa"/>
            <w:shd w:val="clear" w:color="auto" w:fill="FFFFFF"/>
            <w:vAlign w:val="center"/>
          </w:tcPr>
          <w:p w14:paraId="370AEE5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20</w:t>
            </w:r>
          </w:p>
        </w:tc>
      </w:tr>
    </w:tbl>
    <w:p w14:paraId="431E25E4">
      <w:pPr>
        <w:rPr>
          <w:rFonts w:hint="default" w:ascii="Times New Roman" w:hAnsi="Times New Roman" w:cs="Times New Roman"/>
          <w:highlight w:val="none"/>
        </w:rPr>
      </w:pPr>
    </w:p>
    <w:tbl>
      <w:tblPr>
        <w:tblStyle w:val="13"/>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8"/>
        <w:gridCol w:w="862"/>
        <w:gridCol w:w="859"/>
        <w:gridCol w:w="2347"/>
        <w:gridCol w:w="992"/>
        <w:gridCol w:w="859"/>
        <w:gridCol w:w="865"/>
        <w:gridCol w:w="859"/>
        <w:gridCol w:w="867"/>
        <w:gridCol w:w="859"/>
        <w:gridCol w:w="865"/>
        <w:gridCol w:w="862"/>
        <w:gridCol w:w="862"/>
        <w:gridCol w:w="1358"/>
      </w:tblGrid>
      <w:tr w14:paraId="6C90A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17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4173874">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highlight w:val="none"/>
                <w:u w:val="none"/>
              </w:rPr>
            </w:pPr>
            <w:r>
              <w:rPr>
                <w:rFonts w:hint="default" w:ascii="华文中宋" w:hAnsi="华文中宋" w:eastAsia="华文中宋" w:cs="华文中宋"/>
                <w:b/>
                <w:bCs/>
                <w:i w:val="0"/>
                <w:iCs w:val="0"/>
                <w:color w:val="000000"/>
                <w:kern w:val="0"/>
                <w:sz w:val="40"/>
                <w:szCs w:val="40"/>
                <w:highlight w:val="none"/>
                <w:u w:val="none"/>
                <w:lang w:val="en-US" w:eastAsia="zh-CN"/>
              </w:rPr>
              <w:t>项目支出绩效自评表</w:t>
            </w:r>
          </w:p>
        </w:tc>
      </w:tr>
      <w:tr w14:paraId="10C41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17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D86ACE3">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rPr>
              <w:t>(2024年度)</w:t>
            </w:r>
          </w:p>
        </w:tc>
      </w:tr>
      <w:tr w14:paraId="57B8D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FE50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项目名称</w:t>
            </w:r>
          </w:p>
        </w:tc>
        <w:tc>
          <w:tcPr>
            <w:tcW w:w="12454"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14:paraId="7D3072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才坎诺尔乡人民政府乡村工作人员工资、补助</w:t>
            </w:r>
          </w:p>
        </w:tc>
      </w:tr>
      <w:tr w14:paraId="1D78D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7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E1DB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主管部门</w:t>
            </w:r>
          </w:p>
        </w:tc>
        <w:tc>
          <w:tcPr>
            <w:tcW w:w="59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71FB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博湖县才坎诺尔乡人民政府</w:t>
            </w:r>
          </w:p>
        </w:tc>
        <w:tc>
          <w:tcPr>
            <w:tcW w:w="17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E1B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实施单位</w:t>
            </w:r>
          </w:p>
        </w:tc>
        <w:tc>
          <w:tcPr>
            <w:tcW w:w="480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62679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博湖县才坎诺尔乡人民政府</w:t>
            </w:r>
          </w:p>
        </w:tc>
      </w:tr>
      <w:tr w14:paraId="20458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7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D9A3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（万元）</w:t>
            </w:r>
          </w:p>
        </w:tc>
        <w:tc>
          <w:tcPr>
            <w:tcW w:w="3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4206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资金来源</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D179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年初预算数</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CDF6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全年预算数</w:t>
            </w:r>
          </w:p>
        </w:tc>
        <w:tc>
          <w:tcPr>
            <w:tcW w:w="17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E561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全年执行数</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324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分值权重</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EFF0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执行率</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506B79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得分</w:t>
            </w:r>
          </w:p>
        </w:tc>
      </w:tr>
      <w:tr w14:paraId="084DF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72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537AB0">
            <w:pPr>
              <w:jc w:val="center"/>
              <w:rPr>
                <w:rFonts w:hint="eastAsia" w:ascii="宋体" w:hAnsi="宋体" w:eastAsia="宋体" w:cs="宋体"/>
                <w:i w:val="0"/>
                <w:iCs w:val="0"/>
                <w:color w:val="000000"/>
                <w:sz w:val="18"/>
                <w:szCs w:val="18"/>
                <w:highlight w:val="none"/>
                <w:u w:val="none"/>
              </w:rPr>
            </w:pPr>
          </w:p>
        </w:tc>
        <w:tc>
          <w:tcPr>
            <w:tcW w:w="3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4F3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年度资金总额</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88F2F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39.38</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D49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39.38</w:t>
            </w:r>
          </w:p>
        </w:tc>
        <w:tc>
          <w:tcPr>
            <w:tcW w:w="17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D7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39.38</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99C8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50B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100.00%</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5A689C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10.00</w:t>
            </w:r>
          </w:p>
        </w:tc>
      </w:tr>
      <w:tr w14:paraId="092F8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72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B9D387">
            <w:pPr>
              <w:jc w:val="center"/>
              <w:rPr>
                <w:rFonts w:hint="eastAsia" w:ascii="宋体" w:hAnsi="宋体" w:eastAsia="宋体" w:cs="宋体"/>
                <w:i w:val="0"/>
                <w:iCs w:val="0"/>
                <w:color w:val="000000"/>
                <w:sz w:val="18"/>
                <w:szCs w:val="18"/>
                <w:highlight w:val="none"/>
                <w:u w:val="none"/>
              </w:rPr>
            </w:pPr>
          </w:p>
        </w:tc>
        <w:tc>
          <w:tcPr>
            <w:tcW w:w="3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BE0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其中：当年财政拨款</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60889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39.38</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EF1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39.38</w:t>
            </w:r>
          </w:p>
        </w:tc>
        <w:tc>
          <w:tcPr>
            <w:tcW w:w="17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89D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39.38</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691E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6E93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2FD7AE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r>
      <w:tr w14:paraId="66427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72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7FB1E2">
            <w:pPr>
              <w:jc w:val="center"/>
              <w:rPr>
                <w:rFonts w:hint="eastAsia" w:ascii="宋体" w:hAnsi="宋体" w:eastAsia="宋体" w:cs="宋体"/>
                <w:i w:val="0"/>
                <w:iCs w:val="0"/>
                <w:color w:val="000000"/>
                <w:sz w:val="18"/>
                <w:szCs w:val="18"/>
                <w:highlight w:val="none"/>
                <w:u w:val="none"/>
              </w:rPr>
            </w:pPr>
          </w:p>
        </w:tc>
        <w:tc>
          <w:tcPr>
            <w:tcW w:w="3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D5C5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CC96E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AE5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17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BC487C">
            <w:pPr>
              <w:jc w:val="center"/>
              <w:rPr>
                <w:rFonts w:hint="eastAsia" w:ascii="宋体" w:hAnsi="宋体" w:eastAsia="宋体" w:cs="宋体"/>
                <w:i w:val="0"/>
                <w:iCs w:val="0"/>
                <w:color w:val="000000"/>
                <w:sz w:val="18"/>
                <w:szCs w:val="18"/>
                <w:highlight w:val="none"/>
                <w:u w:val="none"/>
              </w:rPr>
            </w:pP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C1E2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D6F1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409B68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r>
      <w:tr w14:paraId="0E250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8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1A7B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年度总体目标</w:t>
            </w:r>
          </w:p>
        </w:tc>
        <w:tc>
          <w:tcPr>
            <w:tcW w:w="851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F1CE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总体目标</w:t>
            </w:r>
          </w:p>
        </w:tc>
        <w:tc>
          <w:tcPr>
            <w:tcW w:w="480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44ABB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总体目标完成情况</w:t>
            </w:r>
          </w:p>
        </w:tc>
      </w:tr>
      <w:tr w14:paraId="09CEC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D27C12">
            <w:pPr>
              <w:jc w:val="center"/>
              <w:rPr>
                <w:rFonts w:hint="eastAsia" w:ascii="宋体" w:hAnsi="宋体" w:eastAsia="宋体" w:cs="宋体"/>
                <w:i w:val="0"/>
                <w:iCs w:val="0"/>
                <w:color w:val="000000"/>
                <w:sz w:val="18"/>
                <w:szCs w:val="18"/>
                <w:highlight w:val="none"/>
                <w:u w:val="none"/>
              </w:rPr>
            </w:pPr>
          </w:p>
        </w:tc>
        <w:tc>
          <w:tcPr>
            <w:tcW w:w="851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826BD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保障各村人员工资、补贴按时发放到位，提升各村人员工作动力，保障4个行政村各项工作有序开展。</w:t>
            </w:r>
          </w:p>
        </w:tc>
        <w:tc>
          <w:tcPr>
            <w:tcW w:w="480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BC80D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为4个行政村村干部、村民小组长、联防队员等共162人，发放工资或补助9次，全部按时发放到位，保障</w:t>
            </w:r>
            <w:r>
              <w:rPr>
                <w:rFonts w:hint="eastAsia" w:ascii="宋体" w:hAnsi="宋体" w:cs="宋体"/>
                <w:i w:val="0"/>
                <w:iCs w:val="0"/>
                <w:color w:val="000000"/>
                <w:kern w:val="0"/>
                <w:sz w:val="18"/>
                <w:szCs w:val="18"/>
                <w:highlight w:val="none"/>
                <w:u w:val="none"/>
                <w:lang w:val="en-US" w:eastAsia="zh-CN"/>
              </w:rPr>
              <w:t>各村</w:t>
            </w:r>
            <w:r>
              <w:rPr>
                <w:rFonts w:hint="eastAsia" w:ascii="宋体" w:hAnsi="宋体" w:eastAsia="宋体" w:cs="宋体"/>
                <w:i w:val="0"/>
                <w:iCs w:val="0"/>
                <w:color w:val="000000"/>
                <w:kern w:val="0"/>
                <w:sz w:val="18"/>
                <w:szCs w:val="18"/>
                <w:highlight w:val="none"/>
                <w:u w:val="none"/>
                <w:lang w:val="en-US" w:eastAsia="zh-CN"/>
              </w:rPr>
              <w:t>人员工资待遇，有效提升各村人员工作动力，推进4个行政村各项工作有序开展。</w:t>
            </w:r>
          </w:p>
        </w:tc>
      </w:tr>
      <w:tr w14:paraId="1CD9F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14:paraId="04C21DCE">
            <w:pPr>
              <w:jc w:val="center"/>
              <w:rPr>
                <w:rFonts w:hint="eastAsia" w:ascii="宋体" w:hAnsi="宋体" w:eastAsia="宋体" w:cs="宋体"/>
                <w:i w:val="0"/>
                <w:iCs w:val="0"/>
                <w:color w:val="000000"/>
                <w:sz w:val="18"/>
                <w:szCs w:val="18"/>
                <w:highlight w:val="none"/>
                <w:u w:val="none"/>
              </w:rPr>
            </w:pP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7D4E5E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一级指标</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0BC149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二级指标</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504B8E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三级指标</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E5040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指标值</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6326E0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指标值设置依据</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78AF83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上年完成值</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0DFECB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指标分值权重</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62CCFC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指标赋分规则</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429E67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佐证资料</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61FBA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指标实际完成值</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1E6FA3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完成率</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14961D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指标得分</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52A927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偏差原因分析及改进措施</w:t>
            </w:r>
          </w:p>
        </w:tc>
      </w:tr>
      <w:tr w14:paraId="08E64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A346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年度绩效指标完成情况</w:t>
            </w:r>
          </w:p>
        </w:tc>
        <w:tc>
          <w:tcPr>
            <w:tcW w:w="8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E343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产出指标</w:t>
            </w:r>
          </w:p>
        </w:tc>
        <w:tc>
          <w:tcPr>
            <w:tcW w:w="8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7C0B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数量指标</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1E8C5AC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涉及行政村数量</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92C637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&gt;=4个</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08EB60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488381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0390E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23C3985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6B1EB6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2FD6B5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=4个</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4B432EE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422B87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422BFDB8">
            <w:pPr>
              <w:jc w:val="center"/>
              <w:rPr>
                <w:rFonts w:hint="eastAsia" w:ascii="宋体" w:hAnsi="宋体" w:eastAsia="宋体" w:cs="宋体"/>
                <w:i w:val="0"/>
                <w:iCs w:val="0"/>
                <w:color w:val="000000"/>
                <w:sz w:val="18"/>
                <w:szCs w:val="18"/>
                <w:highlight w:val="none"/>
                <w:u w:val="none"/>
              </w:rPr>
            </w:pPr>
          </w:p>
        </w:tc>
      </w:tr>
      <w:tr w14:paraId="72C7F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D03909">
            <w:pPr>
              <w:jc w:val="center"/>
              <w:rPr>
                <w:rFonts w:hint="eastAsia" w:ascii="宋体" w:hAnsi="宋体" w:eastAsia="宋体" w:cs="宋体"/>
                <w:i w:val="0"/>
                <w:iCs w:val="0"/>
                <w:color w:val="000000"/>
                <w:sz w:val="20"/>
                <w:szCs w:val="20"/>
                <w:highlight w:val="none"/>
                <w:u w:val="none"/>
              </w:rPr>
            </w:pPr>
          </w:p>
        </w:tc>
        <w:tc>
          <w:tcPr>
            <w:tcW w:w="8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B48FE4">
            <w:pPr>
              <w:jc w:val="center"/>
              <w:rPr>
                <w:rFonts w:hint="eastAsia" w:ascii="宋体" w:hAnsi="宋体" w:eastAsia="宋体" w:cs="宋体"/>
                <w:i w:val="0"/>
                <w:iCs w:val="0"/>
                <w:color w:val="000000"/>
                <w:sz w:val="20"/>
                <w:szCs w:val="20"/>
                <w:highlight w:val="none"/>
                <w:u w:val="none"/>
              </w:rPr>
            </w:pPr>
          </w:p>
        </w:tc>
        <w:tc>
          <w:tcPr>
            <w:tcW w:w="8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8D8E34">
            <w:pPr>
              <w:jc w:val="center"/>
              <w:rPr>
                <w:rFonts w:hint="eastAsia" w:ascii="宋体" w:hAnsi="宋体" w:eastAsia="宋体" w:cs="宋体"/>
                <w:i w:val="0"/>
                <w:iCs w:val="0"/>
                <w:color w:val="000000"/>
                <w:sz w:val="20"/>
                <w:szCs w:val="20"/>
                <w:highlight w:val="none"/>
                <w:u w:val="none"/>
              </w:rPr>
            </w:pP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2D2BA2B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发放次数</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D1012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&gt;=9次</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1CB720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1BC6779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4EC552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58934E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55C15E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3BB182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=9次</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237CF81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47A25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7BD944A4">
            <w:pPr>
              <w:jc w:val="center"/>
              <w:rPr>
                <w:rFonts w:hint="eastAsia" w:ascii="宋体" w:hAnsi="宋体" w:eastAsia="宋体" w:cs="宋体"/>
                <w:i w:val="0"/>
                <w:iCs w:val="0"/>
                <w:color w:val="000000"/>
                <w:sz w:val="18"/>
                <w:szCs w:val="18"/>
                <w:highlight w:val="none"/>
                <w:u w:val="none"/>
              </w:rPr>
            </w:pPr>
          </w:p>
        </w:tc>
      </w:tr>
      <w:tr w14:paraId="67131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E1FA8E">
            <w:pPr>
              <w:jc w:val="center"/>
              <w:rPr>
                <w:rFonts w:hint="eastAsia" w:ascii="宋体" w:hAnsi="宋体" w:eastAsia="宋体" w:cs="宋体"/>
                <w:i w:val="0"/>
                <w:iCs w:val="0"/>
                <w:color w:val="000000"/>
                <w:sz w:val="20"/>
                <w:szCs w:val="20"/>
                <w:highlight w:val="none"/>
                <w:u w:val="none"/>
              </w:rPr>
            </w:pPr>
          </w:p>
        </w:tc>
        <w:tc>
          <w:tcPr>
            <w:tcW w:w="8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870A8F">
            <w:pPr>
              <w:jc w:val="center"/>
              <w:rPr>
                <w:rFonts w:hint="eastAsia" w:ascii="宋体" w:hAnsi="宋体" w:eastAsia="宋体" w:cs="宋体"/>
                <w:i w:val="0"/>
                <w:iCs w:val="0"/>
                <w:color w:val="000000"/>
                <w:sz w:val="20"/>
                <w:szCs w:val="20"/>
                <w:highlight w:val="none"/>
                <w:u w:val="none"/>
              </w:rPr>
            </w:pPr>
          </w:p>
        </w:tc>
        <w:tc>
          <w:tcPr>
            <w:tcW w:w="8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CFCFE8">
            <w:pPr>
              <w:jc w:val="center"/>
              <w:rPr>
                <w:rFonts w:hint="eastAsia" w:ascii="宋体" w:hAnsi="宋体" w:eastAsia="宋体" w:cs="宋体"/>
                <w:i w:val="0"/>
                <w:iCs w:val="0"/>
                <w:color w:val="000000"/>
                <w:sz w:val="20"/>
                <w:szCs w:val="20"/>
                <w:highlight w:val="none"/>
                <w:u w:val="none"/>
              </w:rPr>
            </w:pP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1D3D82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发放人数</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F6309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&gt;=162人</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29FBA9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1D3252D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6F80F9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333399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2775CB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48EF18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=162人</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5193EE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2A06DD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0E4E8E9F">
            <w:pPr>
              <w:jc w:val="center"/>
              <w:rPr>
                <w:rFonts w:hint="eastAsia" w:ascii="宋体" w:hAnsi="宋体" w:eastAsia="宋体" w:cs="宋体"/>
                <w:i w:val="0"/>
                <w:iCs w:val="0"/>
                <w:color w:val="000000"/>
                <w:sz w:val="18"/>
                <w:szCs w:val="18"/>
                <w:highlight w:val="none"/>
                <w:u w:val="none"/>
              </w:rPr>
            </w:pPr>
          </w:p>
        </w:tc>
      </w:tr>
      <w:tr w14:paraId="4F3F5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9C51BB">
            <w:pPr>
              <w:jc w:val="center"/>
              <w:rPr>
                <w:rFonts w:hint="eastAsia" w:ascii="宋体" w:hAnsi="宋体" w:eastAsia="宋体" w:cs="宋体"/>
                <w:i w:val="0"/>
                <w:iCs w:val="0"/>
                <w:color w:val="000000"/>
                <w:sz w:val="20"/>
                <w:szCs w:val="20"/>
                <w:highlight w:val="none"/>
                <w:u w:val="none"/>
              </w:rPr>
            </w:pPr>
          </w:p>
        </w:tc>
        <w:tc>
          <w:tcPr>
            <w:tcW w:w="8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2C8C83">
            <w:pPr>
              <w:jc w:val="center"/>
              <w:rPr>
                <w:rFonts w:hint="eastAsia" w:ascii="宋体" w:hAnsi="宋体" w:eastAsia="宋体" w:cs="宋体"/>
                <w:i w:val="0"/>
                <w:iCs w:val="0"/>
                <w:color w:val="000000"/>
                <w:sz w:val="20"/>
                <w:szCs w:val="20"/>
                <w:highlight w:val="none"/>
                <w:u w:val="none"/>
              </w:rPr>
            </w:pPr>
          </w:p>
        </w:tc>
        <w:tc>
          <w:tcPr>
            <w:tcW w:w="8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CF23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质量指标</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2468A9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资金拨付率</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FFC168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2E50A2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55C5545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4C426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12FAFF7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300456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0D3B5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58A0E68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1A6E73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25CFA36C">
            <w:pPr>
              <w:jc w:val="center"/>
              <w:rPr>
                <w:rFonts w:hint="eastAsia" w:ascii="宋体" w:hAnsi="宋体" w:eastAsia="宋体" w:cs="宋体"/>
                <w:i w:val="0"/>
                <w:iCs w:val="0"/>
                <w:color w:val="000000"/>
                <w:sz w:val="18"/>
                <w:szCs w:val="18"/>
                <w:highlight w:val="none"/>
                <w:u w:val="none"/>
              </w:rPr>
            </w:pPr>
          </w:p>
        </w:tc>
      </w:tr>
      <w:tr w14:paraId="5A4B0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165F85">
            <w:pPr>
              <w:jc w:val="center"/>
              <w:rPr>
                <w:rFonts w:hint="eastAsia" w:ascii="宋体" w:hAnsi="宋体" w:eastAsia="宋体" w:cs="宋体"/>
                <w:i w:val="0"/>
                <w:iCs w:val="0"/>
                <w:color w:val="000000"/>
                <w:sz w:val="20"/>
                <w:szCs w:val="20"/>
                <w:highlight w:val="none"/>
                <w:u w:val="none"/>
              </w:rPr>
            </w:pPr>
          </w:p>
        </w:tc>
        <w:tc>
          <w:tcPr>
            <w:tcW w:w="8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98F723">
            <w:pPr>
              <w:jc w:val="center"/>
              <w:rPr>
                <w:rFonts w:hint="eastAsia" w:ascii="宋体" w:hAnsi="宋体" w:eastAsia="宋体" w:cs="宋体"/>
                <w:i w:val="0"/>
                <w:iCs w:val="0"/>
                <w:color w:val="000000"/>
                <w:sz w:val="20"/>
                <w:szCs w:val="20"/>
                <w:highlight w:val="none"/>
                <w:u w:val="none"/>
              </w:rPr>
            </w:pPr>
          </w:p>
        </w:tc>
        <w:tc>
          <w:tcPr>
            <w:tcW w:w="8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1DD2D1">
            <w:pPr>
              <w:jc w:val="center"/>
              <w:rPr>
                <w:rFonts w:hint="eastAsia" w:ascii="宋体" w:hAnsi="宋体" w:eastAsia="宋体" w:cs="宋体"/>
                <w:i w:val="0"/>
                <w:iCs w:val="0"/>
                <w:color w:val="000000"/>
                <w:sz w:val="20"/>
                <w:szCs w:val="20"/>
                <w:highlight w:val="none"/>
                <w:u w:val="none"/>
              </w:rPr>
            </w:pP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32C707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资金发放准确率</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12BC46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427990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0B414F5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598DD0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20A557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2605BAC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05FF51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6A432F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5B03E1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79D3B593">
            <w:pPr>
              <w:jc w:val="center"/>
              <w:rPr>
                <w:rFonts w:hint="eastAsia" w:ascii="宋体" w:hAnsi="宋体" w:eastAsia="宋体" w:cs="宋体"/>
                <w:i w:val="0"/>
                <w:iCs w:val="0"/>
                <w:color w:val="000000"/>
                <w:sz w:val="18"/>
                <w:szCs w:val="18"/>
                <w:highlight w:val="none"/>
                <w:u w:val="none"/>
              </w:rPr>
            </w:pPr>
          </w:p>
        </w:tc>
      </w:tr>
      <w:tr w14:paraId="5D16E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086096">
            <w:pPr>
              <w:jc w:val="center"/>
              <w:rPr>
                <w:rFonts w:hint="eastAsia" w:ascii="宋体" w:hAnsi="宋体" w:eastAsia="宋体" w:cs="宋体"/>
                <w:i w:val="0"/>
                <w:iCs w:val="0"/>
                <w:color w:val="000000"/>
                <w:sz w:val="20"/>
                <w:szCs w:val="20"/>
                <w:highlight w:val="none"/>
                <w:u w:val="none"/>
              </w:rPr>
            </w:pPr>
          </w:p>
        </w:tc>
        <w:tc>
          <w:tcPr>
            <w:tcW w:w="8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B43757">
            <w:pPr>
              <w:jc w:val="center"/>
              <w:rPr>
                <w:rFonts w:hint="eastAsia" w:ascii="宋体" w:hAnsi="宋体" w:eastAsia="宋体" w:cs="宋体"/>
                <w:i w:val="0"/>
                <w:iCs w:val="0"/>
                <w:color w:val="000000"/>
                <w:sz w:val="20"/>
                <w:szCs w:val="20"/>
                <w:highlight w:val="none"/>
                <w:u w:val="none"/>
              </w:rPr>
            </w:pP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6B351F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时效指标</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125F61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资金发放及时率</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0A062B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690BD6A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7FD29F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2F3B35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713E8A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03BDB8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64612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24CDFB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254C83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6AD4FB6F">
            <w:pPr>
              <w:jc w:val="center"/>
              <w:rPr>
                <w:rFonts w:hint="eastAsia" w:ascii="宋体" w:hAnsi="宋体" w:eastAsia="宋体" w:cs="宋体"/>
                <w:i w:val="0"/>
                <w:iCs w:val="0"/>
                <w:color w:val="000000"/>
                <w:sz w:val="18"/>
                <w:szCs w:val="18"/>
                <w:highlight w:val="none"/>
                <w:u w:val="none"/>
              </w:rPr>
            </w:pPr>
          </w:p>
        </w:tc>
      </w:tr>
      <w:tr w14:paraId="500C3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0A305E">
            <w:pPr>
              <w:jc w:val="center"/>
              <w:rPr>
                <w:rFonts w:hint="eastAsia" w:ascii="宋体" w:hAnsi="宋体" w:eastAsia="宋体" w:cs="宋体"/>
                <w:i w:val="0"/>
                <w:iCs w:val="0"/>
                <w:color w:val="000000"/>
                <w:sz w:val="20"/>
                <w:szCs w:val="20"/>
                <w:highlight w:val="none"/>
                <w:u w:val="none"/>
              </w:rPr>
            </w:pP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151BC2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成本指标</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20F86F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经济成本指标</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6D00559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工作人员保障成本</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2BECBA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&lt;=0.24万元/人</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48122B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23270E2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792AC1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6155E6E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71C2480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原始凭证</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58E70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=0.24万元/人</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35D93F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332C55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2D576737">
            <w:pPr>
              <w:jc w:val="center"/>
              <w:rPr>
                <w:rFonts w:hint="eastAsia" w:ascii="宋体" w:hAnsi="宋体" w:eastAsia="宋体" w:cs="宋体"/>
                <w:i w:val="0"/>
                <w:iCs w:val="0"/>
                <w:color w:val="000000"/>
                <w:sz w:val="18"/>
                <w:szCs w:val="18"/>
                <w:highlight w:val="none"/>
                <w:u w:val="none"/>
              </w:rPr>
            </w:pPr>
          </w:p>
        </w:tc>
      </w:tr>
      <w:tr w14:paraId="2ECDC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E60C49">
            <w:pPr>
              <w:jc w:val="center"/>
              <w:rPr>
                <w:rFonts w:hint="eastAsia" w:ascii="宋体" w:hAnsi="宋体" w:eastAsia="宋体" w:cs="宋体"/>
                <w:i w:val="0"/>
                <w:iCs w:val="0"/>
                <w:color w:val="000000"/>
                <w:sz w:val="20"/>
                <w:szCs w:val="20"/>
                <w:highlight w:val="none"/>
                <w:u w:val="none"/>
              </w:rPr>
            </w:pP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1C56C4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效益指标</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325F73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社会效益指标</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03D9E7C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提升各村人员工作动力</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A5C07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有所提升</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28F36B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6C7EC6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26179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30</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7B84DB8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按评判等级赋分</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32ACA5F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54846F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有所提升</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266BC0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66859A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30</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3B055944">
            <w:pPr>
              <w:jc w:val="center"/>
              <w:rPr>
                <w:rFonts w:hint="eastAsia" w:ascii="宋体" w:hAnsi="宋体" w:eastAsia="宋体" w:cs="宋体"/>
                <w:i w:val="0"/>
                <w:iCs w:val="0"/>
                <w:color w:val="000000"/>
                <w:sz w:val="18"/>
                <w:szCs w:val="18"/>
                <w:highlight w:val="none"/>
                <w:u w:val="none"/>
              </w:rPr>
            </w:pPr>
          </w:p>
        </w:tc>
      </w:tr>
      <w:tr w14:paraId="5DE74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2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B6F25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DBB8C6A">
            <w:pPr>
              <w:jc w:val="center"/>
              <w:rPr>
                <w:rFonts w:hint="eastAsia" w:ascii="宋体" w:hAnsi="宋体" w:eastAsia="宋体" w:cs="宋体"/>
                <w:i w:val="0"/>
                <w:iCs w:val="0"/>
                <w:color w:val="000000"/>
                <w:sz w:val="18"/>
                <w:szCs w:val="18"/>
                <w:highlight w:val="none"/>
                <w:u w:val="none"/>
              </w:rPr>
            </w:pP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4318689B">
            <w:pPr>
              <w:rPr>
                <w:rFonts w:hint="eastAsia" w:ascii="宋体" w:hAnsi="宋体" w:eastAsia="宋体" w:cs="宋体"/>
                <w:b/>
                <w:bCs/>
                <w:i w:val="0"/>
                <w:iCs w:val="0"/>
                <w:color w:val="000000"/>
                <w:sz w:val="18"/>
                <w:szCs w:val="18"/>
                <w:highlight w:val="none"/>
                <w:u w:val="none"/>
              </w:rPr>
            </w:pP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70FFC94B">
            <w:pPr>
              <w:jc w:val="center"/>
              <w:rPr>
                <w:rFonts w:hint="eastAsia" w:ascii="宋体" w:hAnsi="宋体" w:eastAsia="宋体" w:cs="宋体"/>
                <w:i w:val="0"/>
                <w:iCs w:val="0"/>
                <w:color w:val="000000"/>
                <w:sz w:val="18"/>
                <w:szCs w:val="18"/>
                <w:highlight w:val="none"/>
                <w:u w:val="none"/>
              </w:rPr>
            </w:pP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786C0302">
            <w:pPr>
              <w:jc w:val="center"/>
              <w:rPr>
                <w:rFonts w:hint="eastAsia" w:ascii="宋体" w:hAnsi="宋体" w:eastAsia="宋体" w:cs="宋体"/>
                <w:i w:val="0"/>
                <w:iCs w:val="0"/>
                <w:color w:val="000000"/>
                <w:sz w:val="18"/>
                <w:szCs w:val="18"/>
                <w:highlight w:val="none"/>
                <w:u w:val="none"/>
              </w:rPr>
            </w:pP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1D030BBF">
            <w:pPr>
              <w:jc w:val="center"/>
              <w:rPr>
                <w:rFonts w:hint="eastAsia" w:ascii="宋体" w:hAnsi="宋体" w:eastAsia="宋体" w:cs="宋体"/>
                <w:i w:val="0"/>
                <w:iCs w:val="0"/>
                <w:color w:val="000000"/>
                <w:sz w:val="18"/>
                <w:szCs w:val="18"/>
                <w:highlight w:val="none"/>
                <w:u w:val="none"/>
              </w:rPr>
            </w:pP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14:paraId="170703A2">
            <w:pPr>
              <w:rPr>
                <w:rFonts w:hint="eastAsia" w:ascii="宋体" w:hAnsi="宋体" w:eastAsia="宋体" w:cs="宋体"/>
                <w:i w:val="0"/>
                <w:iCs w:val="0"/>
                <w:color w:val="000000"/>
                <w:sz w:val="18"/>
                <w:szCs w:val="18"/>
                <w:highlight w:val="none"/>
                <w:u w:val="none"/>
              </w:rPr>
            </w:pP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25FEDA77">
            <w:pPr>
              <w:rPr>
                <w:rFonts w:hint="eastAsia" w:ascii="宋体" w:hAnsi="宋体" w:eastAsia="宋体" w:cs="宋体"/>
                <w:i w:val="0"/>
                <w:iCs w:val="0"/>
                <w:color w:val="000000"/>
                <w:sz w:val="18"/>
                <w:szCs w:val="18"/>
                <w:highlight w:val="none"/>
                <w:u w:val="none"/>
              </w:rPr>
            </w:pP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5AC1AAEE">
            <w:pPr>
              <w:rPr>
                <w:rFonts w:hint="eastAsia" w:ascii="宋体" w:hAnsi="宋体" w:eastAsia="宋体" w:cs="宋体"/>
                <w:i w:val="0"/>
                <w:iCs w:val="0"/>
                <w:color w:val="000000"/>
                <w:sz w:val="18"/>
                <w:szCs w:val="18"/>
                <w:highlight w:val="none"/>
                <w:u w:val="none"/>
              </w:rPr>
            </w:pP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64E0B0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100.00分</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14:paraId="42CE6EE3">
            <w:pPr>
              <w:rPr>
                <w:rFonts w:hint="eastAsia" w:ascii="宋体" w:hAnsi="宋体" w:eastAsia="宋体" w:cs="宋体"/>
                <w:i w:val="0"/>
                <w:iCs w:val="0"/>
                <w:color w:val="000000"/>
                <w:sz w:val="18"/>
                <w:szCs w:val="18"/>
                <w:highlight w:val="none"/>
                <w:u w:val="none"/>
              </w:rPr>
            </w:pPr>
          </w:p>
        </w:tc>
      </w:tr>
    </w:tbl>
    <w:p w14:paraId="521563B9">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8122231">
        <w:pPr>
          <w:pStyle w:val="7"/>
          <w:jc w:val="center"/>
        </w:pPr>
        <w:r>
          <w:fldChar w:fldCharType="begin"/>
        </w:r>
        <w:r>
          <w:instrText xml:space="preserve">PAGE   \* MERGEFORMAT</w:instrText>
        </w:r>
        <w:r>
          <w:fldChar w:fldCharType="separate"/>
        </w:r>
        <w:r>
          <w:rPr>
            <w:lang w:val="zh-CN"/>
          </w:rPr>
          <w:t>13</w:t>
        </w:r>
        <w:r>
          <w:fldChar w:fldCharType="end"/>
        </w:r>
      </w:p>
    </w:sdtContent>
  </w:sdt>
  <w:p w14:paraId="7566D98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290A6B0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2"/>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table" w:styleId="1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bCs/>
    </w:rPr>
  </w:style>
  <w:style w:type="paragraph" w:customStyle="1" w:styleId="17">
    <w:name w:val="Comment Text"/>
    <w:basedOn w:val="1"/>
    <w:link w:val="24"/>
    <w:qFormat/>
    <w:uiPriority w:val="0"/>
    <w:pPr>
      <w:jc w:val="left"/>
    </w:pPr>
  </w:style>
  <w:style w:type="paragraph" w:customStyle="1" w:styleId="18">
    <w:name w:val="Comment Subject"/>
    <w:basedOn w:val="17"/>
    <w:next w:val="17"/>
    <w:link w:val="25"/>
    <w:qFormat/>
    <w:uiPriority w:val="0"/>
    <w:rPr>
      <w:b/>
      <w:bCs/>
    </w:rPr>
  </w:style>
  <w:style w:type="character" w:customStyle="1" w:styleId="19">
    <w:name w:val="Comment Reference"/>
    <w:basedOn w:val="15"/>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5"/>
    <w:link w:val="6"/>
    <w:qFormat/>
    <w:uiPriority w:val="0"/>
    <w:rPr>
      <w:rFonts w:ascii="Times New Roman" w:hAnsi="Times New Roman" w:eastAsia="宋体" w:cs="Times New Roman"/>
      <w:kern w:val="2"/>
      <w:sz w:val="18"/>
      <w:szCs w:val="18"/>
    </w:rPr>
  </w:style>
  <w:style w:type="character" w:customStyle="1" w:styleId="23">
    <w:name w:val="页眉 字符"/>
    <w:basedOn w:val="15"/>
    <w:link w:val="8"/>
    <w:qFormat/>
    <w:uiPriority w:val="0"/>
    <w:rPr>
      <w:rFonts w:ascii="Times New Roman" w:hAnsi="Times New Roman" w:eastAsia="宋体" w:cs="Times New Roman"/>
      <w:kern w:val="2"/>
      <w:sz w:val="18"/>
      <w:szCs w:val="18"/>
    </w:rPr>
  </w:style>
  <w:style w:type="character" w:customStyle="1" w:styleId="24">
    <w:name w:val="批注文字 字符"/>
    <w:basedOn w:val="15"/>
    <w:link w:val="17"/>
    <w:qFormat/>
    <w:uiPriority w:val="0"/>
    <w:rPr>
      <w:rFonts w:ascii="Times New Roman" w:hAnsi="Times New Roman" w:eastAsia="宋体" w:cs="Times New Roman"/>
      <w:kern w:val="2"/>
      <w:sz w:val="21"/>
      <w:szCs w:val="24"/>
    </w:rPr>
  </w:style>
  <w:style w:type="character" w:customStyle="1" w:styleId="25">
    <w:name w:val="批注主题 字符"/>
    <w:basedOn w:val="24"/>
    <w:link w:val="18"/>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F1A32EB7C53F433780EB4BD1AD3DECDF_13</vt:lpwstr>
  </property>
  <property fmtid="{D5CDD505-2E9C-101B-9397-08002B2CF9AE}" pid="4" name="KSOTemplateDocerSaveRecord">
    <vt:lpwstr>eyJoZGlkIjoiZjc2M2NjNDk1NWQwMjRmYWNlMmJlNWI3YWNlNjgzYmQiLCJ1c2VySWQiOiIyNjQyMTYyODAifQ==</vt:lpwstr>
  </property>
</Properties>
</file>

<file path=customXml/itemProps1.xml><?xml version="1.0" encoding="utf-8"?>
<ds:datastoreItem xmlns:ds="http://schemas.openxmlformats.org/officeDocument/2006/customXml" ds:itemID="{dc883803-7cd6-4a55-978e-7f2560e860ba}">
  <ds:schemaRefs/>
</ds:datastoreItem>
</file>

<file path=docProps/app.xml><?xml version="1.0" encoding="utf-8"?>
<Properties xmlns="http://schemas.openxmlformats.org/officeDocument/2006/extended-properties" xmlns:vt="http://schemas.openxmlformats.org/officeDocument/2006/docPropsVTypes">
  <Template>Normal</Template>
  <Pages>26</Pages>
  <Words>10176</Words>
  <Characters>10459</Characters>
  <Lines>58</Lines>
  <Paragraphs>16</Paragraphs>
  <TotalTime>41</TotalTime>
  <ScaleCrop>false</ScaleCrop>
  <LinksUpToDate>false</LinksUpToDate>
  <CharactersWithSpaces>10472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雨。</cp:lastModifiedBy>
  <dcterms:modified xsi:type="dcterms:W3CDTF">2025-09-25T02:37:47Z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F1A32EB7C53F433780EB4BD1AD3DECDF_13</vt:lpwstr>
  </property>
  <property fmtid="{D5CDD505-2E9C-101B-9397-08002B2CF9AE}" pid="4" name="KSOTemplateDocerSaveRecord">
    <vt:lpwstr>eyJoZGlkIjoiN2E1ZDY0MDI5MTE3YjM0ZGMyMzg4N2EwMDI4ZjJiM2YiLCJ1c2VySWQiOiIyNTk4NTcxMjUifQ==</vt:lpwstr>
  </property>
</Properties>
</file>