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AA05F"/>
    <w:p w14:paraId="70FAA5C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AC4DD43">
      <w:pPr>
        <w:spacing w:line="540" w:lineRule="exact"/>
        <w:jc w:val="center"/>
        <w:rPr>
          <w:rFonts w:ascii="华文中宋" w:hAnsi="华文中宋" w:eastAsia="华文中宋" w:cs="宋体"/>
          <w:b/>
          <w:kern w:val="0"/>
          <w:sz w:val="52"/>
          <w:szCs w:val="52"/>
        </w:rPr>
      </w:pPr>
    </w:p>
    <w:p w14:paraId="3DBFA7A3">
      <w:pPr>
        <w:spacing w:line="540" w:lineRule="exact"/>
        <w:jc w:val="center"/>
        <w:rPr>
          <w:rFonts w:ascii="华文中宋" w:hAnsi="华文中宋" w:eastAsia="华文中宋" w:cs="宋体"/>
          <w:b/>
          <w:kern w:val="0"/>
          <w:sz w:val="52"/>
          <w:szCs w:val="52"/>
        </w:rPr>
      </w:pPr>
    </w:p>
    <w:p w14:paraId="0C0DB61E">
      <w:pPr>
        <w:spacing w:line="540" w:lineRule="exact"/>
        <w:jc w:val="center"/>
        <w:rPr>
          <w:rFonts w:ascii="华文中宋" w:hAnsi="华文中宋" w:eastAsia="华文中宋" w:cs="宋体"/>
          <w:b/>
          <w:kern w:val="0"/>
          <w:sz w:val="52"/>
          <w:szCs w:val="52"/>
        </w:rPr>
      </w:pPr>
    </w:p>
    <w:p w14:paraId="5F4AD49E">
      <w:pPr>
        <w:spacing w:line="540" w:lineRule="exact"/>
        <w:jc w:val="center"/>
        <w:rPr>
          <w:rFonts w:ascii="华文中宋" w:hAnsi="华文中宋" w:eastAsia="华文中宋" w:cs="宋体"/>
          <w:b/>
          <w:kern w:val="0"/>
          <w:sz w:val="52"/>
          <w:szCs w:val="52"/>
        </w:rPr>
      </w:pPr>
    </w:p>
    <w:p w14:paraId="49C6B9FF">
      <w:pPr>
        <w:spacing w:line="540" w:lineRule="exact"/>
        <w:jc w:val="center"/>
        <w:rPr>
          <w:rFonts w:ascii="华文中宋" w:hAnsi="华文中宋" w:eastAsia="华文中宋" w:cs="宋体"/>
          <w:b/>
          <w:kern w:val="0"/>
          <w:sz w:val="52"/>
          <w:szCs w:val="52"/>
        </w:rPr>
      </w:pPr>
    </w:p>
    <w:p w14:paraId="4FB0A996">
      <w:pPr>
        <w:spacing w:line="540" w:lineRule="exact"/>
        <w:jc w:val="center"/>
        <w:rPr>
          <w:rFonts w:ascii="华文中宋" w:hAnsi="华文中宋" w:eastAsia="华文中宋" w:cs="宋体"/>
          <w:b/>
          <w:kern w:val="0"/>
          <w:sz w:val="52"/>
          <w:szCs w:val="52"/>
        </w:rPr>
      </w:pPr>
    </w:p>
    <w:p w14:paraId="3CFE35D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84F9F56">
      <w:pPr>
        <w:spacing w:line="540" w:lineRule="exact"/>
        <w:jc w:val="center"/>
        <w:rPr>
          <w:rFonts w:ascii="华文中宋" w:hAnsi="华文中宋" w:eastAsia="华文中宋" w:cs="宋体"/>
          <w:b/>
          <w:kern w:val="0"/>
          <w:sz w:val="52"/>
          <w:szCs w:val="52"/>
        </w:rPr>
      </w:pPr>
    </w:p>
    <w:p w14:paraId="07316C5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776117B">
      <w:pPr>
        <w:spacing w:line="540" w:lineRule="exact"/>
        <w:jc w:val="center"/>
        <w:rPr>
          <w:rFonts w:hAnsi="宋体" w:eastAsia="仿宋_GB2312" w:cs="宋体"/>
          <w:kern w:val="0"/>
          <w:sz w:val="30"/>
          <w:szCs w:val="30"/>
        </w:rPr>
      </w:pPr>
    </w:p>
    <w:p w14:paraId="1C69CF2F">
      <w:pPr>
        <w:spacing w:line="540" w:lineRule="exact"/>
        <w:jc w:val="center"/>
        <w:rPr>
          <w:rFonts w:hAnsi="宋体" w:eastAsia="仿宋_GB2312" w:cs="宋体"/>
          <w:kern w:val="0"/>
          <w:sz w:val="30"/>
          <w:szCs w:val="30"/>
        </w:rPr>
      </w:pPr>
    </w:p>
    <w:p w14:paraId="6AB22F05">
      <w:pPr>
        <w:spacing w:line="540" w:lineRule="exact"/>
        <w:jc w:val="center"/>
        <w:rPr>
          <w:rFonts w:hAnsi="宋体" w:eastAsia="仿宋_GB2312" w:cs="宋体"/>
          <w:kern w:val="0"/>
          <w:sz w:val="30"/>
          <w:szCs w:val="30"/>
        </w:rPr>
      </w:pPr>
    </w:p>
    <w:p w14:paraId="0C2E9009">
      <w:pPr>
        <w:spacing w:line="540" w:lineRule="exact"/>
        <w:jc w:val="center"/>
        <w:rPr>
          <w:rFonts w:hAnsi="宋体" w:eastAsia="仿宋_GB2312" w:cs="宋体"/>
          <w:kern w:val="0"/>
          <w:sz w:val="30"/>
          <w:szCs w:val="30"/>
        </w:rPr>
      </w:pPr>
    </w:p>
    <w:p w14:paraId="020AE7E8">
      <w:pPr>
        <w:spacing w:line="540" w:lineRule="exact"/>
        <w:jc w:val="center"/>
        <w:rPr>
          <w:rFonts w:hAnsi="宋体" w:eastAsia="仿宋_GB2312" w:cs="宋体"/>
          <w:kern w:val="0"/>
          <w:sz w:val="30"/>
          <w:szCs w:val="30"/>
        </w:rPr>
      </w:pPr>
    </w:p>
    <w:p w14:paraId="39725F5D">
      <w:pPr>
        <w:spacing w:line="540" w:lineRule="exact"/>
        <w:rPr>
          <w:rFonts w:hAnsi="宋体" w:eastAsia="仿宋_GB2312" w:cs="宋体"/>
          <w:kern w:val="0"/>
          <w:sz w:val="30"/>
          <w:szCs w:val="30"/>
        </w:rPr>
      </w:pPr>
    </w:p>
    <w:p w14:paraId="2C112B8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17C35E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博湖县南山片区管理服务中心运维费</w:t>
      </w:r>
    </w:p>
    <w:p w14:paraId="0B7784B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博湖县南山片区管理服务中心</w:t>
      </w:r>
    </w:p>
    <w:p w14:paraId="37EB4E9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博湖县南山片区管理服务中心</w:t>
      </w:r>
    </w:p>
    <w:p w14:paraId="5081479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刘天山</w:t>
      </w:r>
    </w:p>
    <w:p w14:paraId="365E0A51">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2025年05月07日</w:t>
      </w:r>
    </w:p>
    <w:p w14:paraId="6E420557">
      <w:pPr>
        <w:spacing w:line="700" w:lineRule="exact"/>
        <w:ind w:firstLine="708" w:firstLineChars="236"/>
        <w:jc w:val="left"/>
        <w:rPr>
          <w:rFonts w:hAnsi="宋体" w:eastAsia="仿宋_GB2312" w:cs="宋体"/>
          <w:kern w:val="0"/>
          <w:sz w:val="30"/>
          <w:szCs w:val="30"/>
        </w:rPr>
      </w:pPr>
    </w:p>
    <w:p w14:paraId="3ACCF24B">
      <w:pPr>
        <w:spacing w:line="540" w:lineRule="exact"/>
        <w:rPr>
          <w:rStyle w:val="19"/>
          <w:rFonts w:ascii="黑体" w:hAnsi="黑体" w:eastAsia="黑体"/>
          <w:b w:val="0"/>
          <w:spacing w:val="-4"/>
          <w:sz w:val="32"/>
          <w:szCs w:val="32"/>
        </w:rPr>
      </w:pPr>
    </w:p>
    <w:p w14:paraId="3776CEA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9031D2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14:paraId="0C72313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主要内容：保障1座污水处理厂运行工作，保障3处设施用水用电，园区总体规划编制4本，安装计量设施1套，保障支付项目后期费用15笔，保障1辆公务用车的运行，保障办公人员5人。使园区内运作管理，设施运行正常，达到总体规划要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保障了污水处理厂1座，保障设施用水用电数量3处，园区总规编制4本，公务用车1辆，支付项目后期费用15次，安装计量设施1套，保障办公5人。保障园区各项工作正常运行，保障了设施用水用电，园区基础设施</w:t>
      </w:r>
      <w:r>
        <w:rPr>
          <w:rStyle w:val="19"/>
          <w:rFonts w:hint="eastAsia" w:ascii="楷体" w:hAnsi="楷体" w:eastAsia="楷体"/>
          <w:spacing w:val="-4"/>
          <w:sz w:val="32"/>
          <w:szCs w:val="32"/>
          <w:lang w:eastAsia="zh-CN"/>
        </w:rPr>
        <w:t>更加</w:t>
      </w:r>
      <w:r>
        <w:rPr>
          <w:rStyle w:val="19"/>
          <w:rFonts w:hint="eastAsia" w:ascii="楷体" w:hAnsi="楷体" w:eastAsia="楷体"/>
          <w:spacing w:val="-4"/>
          <w:sz w:val="32"/>
          <w:szCs w:val="32"/>
        </w:rPr>
        <w:t>完善。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该项目年初预算数23万元，全年预算数249.54万元，该项目资金已全部落实到位，资金来源为财政拨款。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23万元，全年预算数249.54万元，全年执行数246.16万元，预算执行率为98.65%。主要用于：保障1座污水处理厂运行工作23.8万元，保障3处设施用水用电25.74万元，园区总体规划编制4本6万元，安装计量设施1套2.18万元，保障支付项目后期费用15笔179.43万元，保障公务用车的运行和保障办公人员共9万元。</w:t>
      </w:r>
    </w:p>
    <w:p w14:paraId="2DCA0C5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14:paraId="0636A1B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博湖县南山片区管理服务中心工作计划，保障1座污水处理厂运行工作，保障3处设施用水用电，园区总体规划编制4本，安装计量设施1套，保障支付项目后期费用15笔，保障1辆公务用车的运行，保障办公人员5人，保障园区正常运行，提升园区环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上半年做好污水处理厂运行前期准备工作，保障污水处理厂正常运行，保障1-6月份3处关键设施的用水用电稳定。完成园区总体规划编制4本，安装计量设施1套，根据项目合同约定，按时支付项目后期费用。合理安排车辆使用，提高使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下半年延续上半年工作标准，持续保障污水处理厂稳定运行，保障6-12月份3处关键设施的用水用电稳定，定期校准维护，及时支付项目后期费用，做好资金预算和使用管理，保障项目后续建设。进一步优化运行流程，降低运营成本。</w:t>
      </w:r>
    </w:p>
    <w:p w14:paraId="762BFE4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14:paraId="10F8776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3196FFE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w:t>
      </w:r>
      <w:bookmarkStart w:id="0" w:name="_GoBack"/>
      <w:r>
        <w:rPr>
          <w:rStyle w:val="19"/>
          <w:rFonts w:hint="eastAsia" w:ascii="楷体" w:hAnsi="楷体" w:eastAsia="楷体"/>
          <w:spacing w:val="-4"/>
          <w:sz w:val="32"/>
          <w:szCs w:val="32"/>
        </w:rPr>
        <w:t>的</w:t>
      </w:r>
      <w:bookmarkEnd w:id="0"/>
      <w:r>
        <w:rPr>
          <w:rStyle w:val="19"/>
          <w:rFonts w:hint="eastAsia" w:ascii="楷体" w:hAnsi="楷体" w:eastAsia="楷体"/>
          <w:spacing w:val="-4"/>
          <w:sz w:val="32"/>
          <w:szCs w:val="32"/>
        </w:rPr>
        <w:t>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博湖县南山片区管理服务中心运维费及其预算执行情况。该项目由博湖县南山片区管理服务中心运维费负责实施，旨在提升园区环境。项目预算涵盖从2024年1月1日至2024年12月20日的全部资金投入与支出，涉及资金总额为249.54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（4）社会、生态等影响：考察项目对社会方面的综合影响。</w:t>
      </w:r>
    </w:p>
    <w:p w14:paraId="375CB95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14:paraId="7E85FE8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比较法。是指将实施情况与年初设定的保障1座污水处理厂运行工作，保障3处设施用水用电，园区总体规划编制4本，安装计量设施1套，保障支付项目后期费用15笔，保障1辆公务用车的运行，保障办公人员5人等目标进行比较的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原因是：根据《博湖县南山片区管理服务中心 “十四五” 规划工作计划》确定了预算，制定了本项目目标及工作计划作为评价标准。</w:t>
      </w:r>
    </w:p>
    <w:p w14:paraId="13AB7C7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5A823BA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1159E38">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14:paraId="1827C9CB">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博湖县南山片区管理服务中心运维费在编制园区总规、安装计量设施、保障人员运转等方面表现出色，达到了预期的标准与要求。同时，项目也在园区环境提升上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在项目管理方面，博湖县南山片区管理服务中心通过有效的规划、组织与协调，项目得以顺利实施，并在预算与时间上保持了良好的控制。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从项目效益的角度来看，本项目不仅实现了预期的社会效益等方面产生了积极的影响。具体而言，园区环境等方面的提升，为项目的利益相关者带来了实实在在的利益。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综上所述，博湖县南山片区管理服务中心运维费在绩效评价中表现出色，达到了项目的预期目标，并在多个方面取得了显著的成效。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等方式，对本项目进行客观评价，最终评分结果：总得分为99.77分，属于优。其中，项目决策类指标权重为20分，得分为 20分，得分率为100%。项目过程类指标权重为20分，得分为19.95分，得分率为99.75%。项目产出类指标权重为40分，得分为39.82分，得分率99.55%。项目效益类指标权重为20分，得分为20分，得分率为100%。</w:t>
      </w:r>
    </w:p>
    <w:p w14:paraId="1832D79B">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14:paraId="705673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0B65CD6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根据《博湖县南山片区管理服务中心 “十四五” 规划工作计划》，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此项权重分值为3分，得分为3分。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p>
    <w:p w14:paraId="7D8CB24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54596CA2">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项目过程类指标包括资金管理和组织实施两方面的内容，由5个三级指标构成，权重分值为20分，实际得分19.95分，得分率99.75%。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本项目总投资249.54万元，财政资金及时足额到位，到位率100%，预算资金按计划进度执行。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预算编制较为详细，项目资金支出总体能够按照预算执行，预算资金支出246.16万元，预算执行率为98.65%。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此项权重分值4分，得分为3.95分。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此项权重分值为4分，得分为4分。</w:t>
      </w:r>
    </w:p>
    <w:p w14:paraId="5FDD133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46D78DB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项目产出类指标包括产出数量、产出质量、产出时效、产出成本四方面的内容，由4个三级指标构成，权重分为40分，实际得分39.82分，得分率为99.55%。具体产出指标完成情况如下：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指标1：污水处理厂，指标值：=1座，实际完成值：=1座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指标2：保障设施用水用电数量，指标值：=3处 ，实际完成值：=3处，指标完成率100 %。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指标3：园区总规编制数，指标值：=4本 ，实际完成值=4本，指标完成率100 %。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指标4：保障公务用车数量，指标值：=1辆，实际完成值： =1辆，指标完成率100%。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指标5：支付项目后期费用数量，指标值：=15笔，实际完成值：=15笔，指标完成率100 %。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指标6：安装计量设施数量，指标值：=1套 ，实际完成值：=1套，指标完成率100 %。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指标7：保障办公人员数量，指标值：=5人，实际完成值：=5人，指标完成率100%。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指标1：园区总规编制达标率，指标值：=100% ，实际完成值：=100% ，指标完成率100%。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指标2：安装计量设施验收合格率，指标值：100%，实际完成值：=100%，指标完成率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此项权重分值为10分，得分为10分。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指标1：电费水费付款及时率，指标值 =100% ，实际完成值：=100% ，指标完成率100 %。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指标2：项目后期费用支付及时率，指标值：=100% ，实际完成值：=99.03% ，指标完成率99.03 %，偏差原因：因印花税有政策减免，部分资金已退回。改进措施：积极对接，做好支付手续。</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此项权重分值为10分，得分为9.95分。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指标1：污水处理厂运行费，指标值：&lt;=25.4万元 ，实际完成值：=23.8万元，指标完成率 93.7 %，偏差原因：部分资金手续不全，资金未完成支付。改进措施：积极对接，做好支付手续。</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  用水用电保障经费，指标值：&lt;=25.74万元    ，实际完成值：=25.74万元，指标完成率100 %。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指标3：园区总体规划成本，指标值：&lt;=6万元，实际完成值：=6万元，指标完成率100 %。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 项目后期费用，指标值：&lt;=181.18万元，实际完成值：=179.43万元，指标完成率 99.03%，偏差原因：因印花税有政策减免，部分资金已退回。改进措施：积极对接，做好支付手续。</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指标5：人均运转经费，指标值：=1.8万元/人，实际完成值：=1.8万元/人 ，指标完成率 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指标6：安装计量设施费用，指标值：&lt;=2.18万元，实际完成值：=2.18万元，指标完成率 100 %。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此项权重分值为10分，得分为9.87分。</w:t>
      </w:r>
    </w:p>
    <w:p w14:paraId="2FC3FBB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114569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项目效益类指标包括项目实施效益和满意度两方面的内容，由1个三级指标构成，权重分为20分，实际得分20分，得分率为100%。具体效益指标及满意度指标完成情况如下：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指标1：园区环境 ，指标值：有所提升，实际完成值：有所提升，指标完成率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此项权重分值为20分，得分为20分。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 </w:t>
      </w:r>
    </w:p>
    <w:p w14:paraId="2C7FD885">
      <w:pPr>
        <w:spacing w:line="540" w:lineRule="exact"/>
        <w:ind w:firstLine="567"/>
        <w:rPr>
          <w:rStyle w:val="19"/>
          <w:rFonts w:hint="eastAsia" w:ascii="楷体" w:hAnsi="楷体" w:eastAsia="楷体"/>
          <w:spacing w:val="-4"/>
          <w:sz w:val="32"/>
          <w:szCs w:val="32"/>
        </w:rPr>
      </w:pPr>
      <w:r>
        <w:rPr>
          <w:rStyle w:val="19"/>
          <w:rFonts w:hint="eastAsia" w:ascii="楷体" w:hAnsi="楷体" w:eastAsia="楷体"/>
          <w:spacing w:val="-4"/>
          <w:sz w:val="32"/>
          <w:szCs w:val="32"/>
        </w:rPr>
        <w:t>未设置满意度指标。</w:t>
      </w:r>
    </w:p>
    <w:p w14:paraId="2E1B9594">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lang w:eastAsia="zh-CN"/>
        </w:rPr>
        <w:t>五</w:t>
      </w:r>
      <w:r>
        <w:rPr>
          <w:rStyle w:val="19"/>
          <w:rFonts w:hint="eastAsia" w:ascii="黑体" w:hAnsi="黑体" w:eastAsia="黑体"/>
          <w:b w:val="0"/>
          <w:spacing w:val="-4"/>
          <w:sz w:val="32"/>
          <w:szCs w:val="32"/>
        </w:rPr>
        <w:t>、</w:t>
      </w:r>
      <w:r>
        <w:rPr>
          <w:rStyle w:val="19"/>
          <w:rFonts w:ascii="黑体" w:hAnsi="黑体" w:eastAsia="黑体"/>
          <w:b w:val="0"/>
          <w:spacing w:val="-4"/>
          <w:sz w:val="32"/>
          <w:szCs w:val="32"/>
        </w:rPr>
        <w:t>主要经验及做法、存在的问题及原因分析</w:t>
      </w:r>
    </w:p>
    <w:p w14:paraId="466E6B54">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w:t>
      </w:r>
      <w:r>
        <w:rPr>
          <w:rStyle w:val="19"/>
          <w:rFonts w:hint="eastAsia" w:ascii="楷体" w:hAnsi="楷体" w:eastAsia="楷体"/>
          <w:spacing w:val="-4"/>
          <w:sz w:val="32"/>
          <w:szCs w:val="32"/>
          <w:lang w:eastAsia="zh-CN"/>
        </w:rPr>
        <w:t>由于</w:t>
      </w:r>
      <w:r>
        <w:rPr>
          <w:rStyle w:val="19"/>
          <w:rFonts w:hint="eastAsia" w:ascii="楷体" w:hAnsi="楷体" w:eastAsia="楷体"/>
          <w:spacing w:val="-4"/>
          <w:sz w:val="32"/>
          <w:szCs w:val="32"/>
        </w:rPr>
        <w:t>部分人员缺乏相关绩效管理专业知识，自评价工作还存在自我审定的局限性，影响评价质量。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14:paraId="35A55A1A">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六</w:t>
      </w:r>
      <w:r>
        <w:rPr>
          <w:rStyle w:val="19"/>
          <w:rFonts w:ascii="黑体" w:hAnsi="黑体" w:eastAsia="黑体"/>
          <w:b w:val="0"/>
          <w:spacing w:val="-4"/>
          <w:sz w:val="32"/>
          <w:szCs w:val="32"/>
        </w:rPr>
        <w:t>、有关建议</w:t>
      </w:r>
    </w:p>
    <w:p w14:paraId="2E2CBE5B">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C7EEE10">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lang w:eastAsia="zh-CN"/>
        </w:rPr>
        <w:t>七</w:t>
      </w:r>
      <w:r>
        <w:rPr>
          <w:rStyle w:val="19"/>
          <w:rFonts w:hint="eastAsia" w:ascii="黑体" w:hAnsi="黑体" w:eastAsia="黑体"/>
          <w:b w:val="0"/>
          <w:spacing w:val="-4"/>
          <w:sz w:val="32"/>
          <w:szCs w:val="32"/>
        </w:rPr>
        <w:t>、其他需要说明的问题</w:t>
      </w:r>
    </w:p>
    <w:p w14:paraId="127CC5B5">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本项目无其他需说明的问题。</w:t>
      </w:r>
    </w:p>
    <w:p w14:paraId="3570E746">
      <w:pPr>
        <w:spacing w:line="540" w:lineRule="exact"/>
        <w:ind w:firstLine="567"/>
        <w:rPr>
          <w:rStyle w:val="19"/>
          <w:rFonts w:ascii="仿宋" w:hAnsi="仿宋" w:eastAsia="仿宋"/>
          <w:b w:val="0"/>
          <w:spacing w:val="-4"/>
          <w:sz w:val="32"/>
          <w:szCs w:val="32"/>
        </w:rPr>
      </w:pPr>
    </w:p>
    <w:p w14:paraId="78435EC8">
      <w:pPr>
        <w:spacing w:line="540" w:lineRule="exact"/>
        <w:ind w:firstLine="567"/>
        <w:rPr>
          <w:rStyle w:val="19"/>
          <w:rFonts w:ascii="仿宋" w:hAnsi="仿宋" w:eastAsia="仿宋"/>
          <w:b w:val="0"/>
          <w:spacing w:val="-4"/>
          <w:sz w:val="32"/>
          <w:szCs w:val="32"/>
        </w:rPr>
      </w:pPr>
    </w:p>
    <w:p w14:paraId="18F41D0C">
      <w:pPr>
        <w:spacing w:line="540" w:lineRule="exact"/>
        <w:ind w:firstLine="567"/>
        <w:rPr>
          <w:rStyle w:val="19"/>
          <w:rFonts w:ascii="仿宋" w:hAnsi="仿宋" w:eastAsia="仿宋"/>
          <w:b w:val="0"/>
          <w:spacing w:val="-4"/>
          <w:sz w:val="32"/>
          <w:szCs w:val="32"/>
        </w:rPr>
      </w:pPr>
    </w:p>
    <w:p w14:paraId="249C7997">
      <w:pPr>
        <w:spacing w:line="540" w:lineRule="exact"/>
        <w:ind w:firstLine="567"/>
        <w:rPr>
          <w:rStyle w:val="19"/>
          <w:rFonts w:ascii="仿宋" w:hAnsi="仿宋" w:eastAsia="仿宋"/>
          <w:b w:val="0"/>
          <w:spacing w:val="-4"/>
          <w:sz w:val="32"/>
          <w:szCs w:val="32"/>
        </w:rPr>
      </w:pPr>
    </w:p>
    <w:p w14:paraId="49EB8AE0">
      <w:pPr>
        <w:spacing w:line="540" w:lineRule="exact"/>
        <w:ind w:firstLine="567"/>
        <w:rPr>
          <w:rStyle w:val="19"/>
          <w:rFonts w:ascii="仿宋" w:hAnsi="仿宋" w:eastAsia="仿宋"/>
          <w:b w:val="0"/>
          <w:spacing w:val="-4"/>
          <w:sz w:val="32"/>
          <w:szCs w:val="32"/>
        </w:rPr>
      </w:pPr>
    </w:p>
    <w:p w14:paraId="11ABA6C6">
      <w:pPr>
        <w:spacing w:line="540" w:lineRule="exact"/>
        <w:ind w:firstLine="567"/>
        <w:rPr>
          <w:rStyle w:val="19"/>
          <w:rFonts w:ascii="仿宋" w:hAnsi="仿宋" w:eastAsia="仿宋"/>
          <w:b w:val="0"/>
          <w:spacing w:val="-4"/>
          <w:sz w:val="32"/>
          <w:szCs w:val="32"/>
        </w:rPr>
      </w:pPr>
    </w:p>
    <w:p w14:paraId="5245DBCD">
      <w:pPr>
        <w:spacing w:line="540" w:lineRule="exact"/>
        <w:ind w:firstLine="567"/>
        <w:rPr>
          <w:rStyle w:val="19"/>
          <w:rFonts w:ascii="仿宋" w:hAnsi="仿宋" w:eastAsia="仿宋"/>
          <w:b w:val="0"/>
          <w:spacing w:val="-4"/>
          <w:sz w:val="32"/>
          <w:szCs w:val="32"/>
        </w:rPr>
      </w:pPr>
    </w:p>
    <w:p w14:paraId="117D22E3">
      <w:pPr>
        <w:spacing w:line="540" w:lineRule="exact"/>
        <w:ind w:firstLine="567"/>
        <w:rPr>
          <w:rStyle w:val="19"/>
          <w:rFonts w:ascii="仿宋" w:hAnsi="仿宋" w:eastAsia="仿宋"/>
          <w:b w:val="0"/>
          <w:spacing w:val="-4"/>
          <w:sz w:val="32"/>
          <w:szCs w:val="32"/>
        </w:rPr>
      </w:pPr>
    </w:p>
    <w:p w14:paraId="4BB0722B">
      <w:pPr>
        <w:spacing w:line="540" w:lineRule="exact"/>
        <w:ind w:firstLine="567"/>
        <w:rPr>
          <w:rStyle w:val="19"/>
          <w:rFonts w:ascii="仿宋" w:hAnsi="仿宋" w:eastAsia="仿宋"/>
          <w:b w:val="0"/>
          <w:spacing w:val="-4"/>
          <w:sz w:val="32"/>
          <w:szCs w:val="32"/>
        </w:rPr>
      </w:pPr>
    </w:p>
    <w:p w14:paraId="25548265">
      <w:pPr>
        <w:spacing w:line="540" w:lineRule="exact"/>
        <w:ind w:firstLine="567"/>
        <w:rPr>
          <w:rStyle w:val="19"/>
          <w:rFonts w:ascii="仿宋" w:hAnsi="仿宋" w:eastAsia="仿宋"/>
          <w:b w:val="0"/>
          <w:spacing w:val="-4"/>
          <w:sz w:val="32"/>
          <w:szCs w:val="32"/>
        </w:rPr>
      </w:pPr>
    </w:p>
    <w:p w14:paraId="61D95208">
      <w:pPr>
        <w:spacing w:line="540" w:lineRule="exact"/>
        <w:ind w:firstLine="567"/>
        <w:rPr>
          <w:rStyle w:val="19"/>
          <w:rFonts w:ascii="仿宋" w:hAnsi="仿宋" w:eastAsia="仿宋"/>
          <w:b w:val="0"/>
          <w:spacing w:val="-4"/>
          <w:sz w:val="32"/>
          <w:szCs w:val="32"/>
        </w:rPr>
      </w:pPr>
    </w:p>
    <w:p w14:paraId="301B32BF">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B5AC394">
        <w:pPr>
          <w:pStyle w:val="12"/>
          <w:jc w:val="center"/>
        </w:pPr>
        <w:r>
          <w:fldChar w:fldCharType="begin"/>
        </w:r>
        <w:r>
          <w:instrText xml:space="preserve">PAGE   \* MERGEFORMAT</w:instrText>
        </w:r>
        <w:r>
          <w:fldChar w:fldCharType="separate"/>
        </w:r>
        <w:r>
          <w:rPr>
            <w:lang w:val="zh-CN"/>
          </w:rPr>
          <w:t>1</w:t>
        </w:r>
        <w:r>
          <w:fldChar w:fldCharType="end"/>
        </w:r>
      </w:p>
    </w:sdtContent>
  </w:sdt>
  <w:p w14:paraId="196D022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96E4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160D1BA1944349B08C48068401F6E698</vt:lpwstr>
  </property>
</Properties>
</file>

<file path=customXml/itemProps1.xml><?xml version="1.0" encoding="utf-8"?>
<ds:datastoreItem xmlns:ds="http://schemas.openxmlformats.org/officeDocument/2006/customXml" ds:itemID="{088241c1-0900-4fa5-90af-6e5898ebcd01}">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9643</Words>
  <Characters>10003</Characters>
  <Lines>5</Lines>
  <Paragraphs>1</Paragraphs>
  <TotalTime>0</TotalTime>
  <ScaleCrop>false</ScaleCrop>
  <LinksUpToDate>false</LinksUpToDate>
  <CharactersWithSpaces>10063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2025-09-25T03:13:28Z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160D1BA1944349B08C48068401F6E698</vt:lpwstr>
  </property>
  <property fmtid="{D5CDD505-2E9C-101B-9397-08002B2CF9AE}" pid="4" name="KSOTemplateDocerSaveRecord">
    <vt:lpwstr>eyJoZGlkIjoiN2E1ZDY0MDI5MTE3YjM0ZGMyMzg4N2EwMDI4ZjJiM2YiLCJ1c2VySWQiOiIyNTk4NTcxMjUifQ==</vt:lpwstr>
  </property>
</Properties>
</file>