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rPr>
          <w:rFonts w:hint="eastAsia" w:ascii="微软雅黑" w:hAnsi="微软雅黑" w:eastAsia="微软雅黑" w:cs="微软雅黑"/>
        </w:rPr>
      </w:pPr>
    </w:p>
    <w:p>
      <w:pPr>
        <w:jc w:val="center"/>
        <w:rPr>
          <w:rFonts w:hint="eastAsia" w:ascii="微软雅黑" w:hAnsi="微软雅黑" w:eastAsia="微软雅黑" w:cs="微软雅黑"/>
          <w:sz w:val="48"/>
          <w:szCs w:val="48"/>
        </w:rPr>
      </w:pPr>
      <w:r>
        <w:rPr>
          <w:rFonts w:hint="eastAsia" w:ascii="微软雅黑" w:hAnsi="微软雅黑" w:eastAsia="微软雅黑" w:cs="微软雅黑"/>
          <w:sz w:val="48"/>
          <w:szCs w:val="48"/>
        </w:rPr>
        <w:t>项目支出绩效评价报告</w:t>
      </w:r>
    </w:p>
    <w:p/>
    <w:p>
      <w:pPr>
        <w:jc w:val="center"/>
        <w:rPr>
          <w:rFonts w:hint="eastAsia" w:eastAsia="微软雅黑"/>
          <w:sz w:val="32"/>
          <w:szCs w:val="32"/>
        </w:rPr>
      </w:pPr>
      <w:r>
        <w:rPr>
          <w:rFonts w:hint="eastAsia" w:eastAsia="微软雅黑"/>
          <w:sz w:val="32"/>
          <w:szCs w:val="32"/>
        </w:rPr>
        <w:t>（202</w:t>
      </w:r>
      <w:r>
        <w:rPr>
          <w:rFonts w:hint="eastAsia" w:eastAsia="微软雅黑"/>
          <w:sz w:val="32"/>
          <w:szCs w:val="32"/>
          <w:lang w:val="en-US" w:eastAsia="zh-CN"/>
        </w:rPr>
        <w:t>3</w:t>
      </w:r>
      <w:r>
        <w:rPr>
          <w:rFonts w:hint="eastAsia" w:eastAsia="微软雅黑"/>
          <w:sz w:val="32"/>
          <w:szCs w:val="32"/>
        </w:rPr>
        <w:t>年度）</w:t>
      </w:r>
    </w:p>
    <w:p/>
    <w:p/>
    <w:p/>
    <w:p/>
    <w:p>
      <w:pPr>
        <w:rPr>
          <w:rFonts w:hint="eastAsia"/>
        </w:rPr>
      </w:pPr>
    </w:p>
    <w:p>
      <w:pPr>
        <w:rPr>
          <w:rFonts w:hint="eastAsia"/>
        </w:rPr>
      </w:pPr>
    </w:p>
    <w:p>
      <w:pPr>
        <w:rPr>
          <w:rFonts w:hint="eastAsia"/>
        </w:rPr>
      </w:pPr>
    </w:p>
    <w:p/>
    <w:p>
      <w:pPr>
        <w:rPr>
          <w:rFonts w:hint="eastAsia" w:eastAsia="微软雅黑"/>
          <w:sz w:val="32"/>
          <w:szCs w:val="32"/>
        </w:rPr>
      </w:pPr>
      <w:r>
        <w:rPr>
          <w:rFonts w:hint="eastAsia" w:eastAsia="微软雅黑"/>
          <w:b/>
          <w:sz w:val="32"/>
          <w:szCs w:val="32"/>
        </w:rPr>
        <w:t>项目名称</w:t>
      </w:r>
      <w:r>
        <w:rPr>
          <w:rFonts w:hint="eastAsia" w:eastAsia="微软雅黑"/>
          <w:sz w:val="32"/>
          <w:szCs w:val="32"/>
        </w:rPr>
        <w:t>：本布图镇再格森诺尔村美丽乡村建设试点项目</w:t>
      </w:r>
    </w:p>
    <w:p>
      <w:pPr>
        <w:rPr>
          <w:rFonts w:hint="eastAsia" w:eastAsia="微软雅黑"/>
          <w:sz w:val="32"/>
          <w:szCs w:val="32"/>
        </w:rPr>
      </w:pPr>
      <w:r>
        <w:rPr>
          <w:rFonts w:hint="eastAsia" w:eastAsia="微软雅黑"/>
          <w:b/>
          <w:sz w:val="32"/>
          <w:szCs w:val="32"/>
        </w:rPr>
        <w:t>实施单位（公章）</w:t>
      </w:r>
      <w:r>
        <w:rPr>
          <w:rFonts w:hint="eastAsia" w:eastAsia="微软雅黑"/>
          <w:sz w:val="32"/>
          <w:szCs w:val="32"/>
        </w:rPr>
        <w:t>：博湖县本布图镇人民政府</w:t>
      </w:r>
    </w:p>
    <w:p>
      <w:pPr>
        <w:rPr>
          <w:rFonts w:hint="eastAsia" w:eastAsia="微软雅黑"/>
          <w:sz w:val="32"/>
          <w:szCs w:val="32"/>
          <w:lang w:val="en-US" w:eastAsia="zh-CN"/>
        </w:rPr>
      </w:pPr>
      <w:r>
        <w:rPr>
          <w:rFonts w:hint="eastAsia" w:eastAsia="微软雅黑"/>
          <w:b/>
          <w:sz w:val="32"/>
          <w:szCs w:val="32"/>
        </w:rPr>
        <w:t>主管部门（公章）</w:t>
      </w:r>
      <w:r>
        <w:rPr>
          <w:rFonts w:hint="eastAsia" w:eastAsia="微软雅黑"/>
          <w:sz w:val="32"/>
          <w:szCs w:val="32"/>
        </w:rPr>
        <w:t>：博湖县本布图镇人民政府</w:t>
      </w:r>
    </w:p>
    <w:p>
      <w:pPr>
        <w:rPr>
          <w:rFonts w:hint="eastAsia" w:eastAsia="微软雅黑"/>
          <w:sz w:val="32"/>
          <w:szCs w:val="32"/>
        </w:rPr>
      </w:pPr>
      <w:r>
        <w:rPr>
          <w:rFonts w:hint="eastAsia" w:eastAsia="微软雅黑"/>
          <w:b/>
          <w:sz w:val="32"/>
          <w:szCs w:val="32"/>
        </w:rPr>
        <w:t>项目负责人（签章）</w:t>
      </w:r>
      <w:r>
        <w:rPr>
          <w:rFonts w:hint="eastAsia" w:eastAsia="微软雅黑"/>
          <w:sz w:val="32"/>
          <w:szCs w:val="32"/>
        </w:rPr>
        <w:t>：恰格德尔加甫</w:t>
      </w:r>
    </w:p>
    <w:p>
      <w:pPr>
        <w:rPr>
          <w:rFonts w:hint="eastAsia"/>
        </w:rPr>
      </w:pPr>
      <w:r>
        <w:rPr>
          <w:rFonts w:hint="eastAsia" w:eastAsia="微软雅黑"/>
          <w:b/>
          <w:sz w:val="32"/>
          <w:szCs w:val="32"/>
        </w:rPr>
        <w:t xml:space="preserve">填报时间：2023年  </w:t>
      </w:r>
      <w:r>
        <w:rPr>
          <w:rFonts w:hint="eastAsia" w:eastAsia="微软雅黑"/>
          <w:b/>
          <w:sz w:val="32"/>
          <w:szCs w:val="32"/>
          <w:lang w:val="en-US" w:eastAsia="zh-CN"/>
        </w:rPr>
        <w:t>12</w:t>
      </w:r>
      <w:r>
        <w:rPr>
          <w:rFonts w:hint="eastAsia" w:eastAsia="微软雅黑"/>
          <w:b/>
          <w:sz w:val="32"/>
          <w:szCs w:val="32"/>
        </w:rPr>
        <w:t xml:space="preserve"> 月  </w:t>
      </w:r>
      <w:r>
        <w:rPr>
          <w:rFonts w:hint="eastAsia" w:eastAsia="微软雅黑"/>
          <w:b/>
          <w:sz w:val="32"/>
          <w:szCs w:val="32"/>
          <w:lang w:val="en-US" w:eastAsia="zh-CN"/>
        </w:rPr>
        <w:t>29</w:t>
      </w:r>
      <w:r>
        <w:rPr>
          <w:rFonts w:hint="eastAsia" w:eastAsia="微软雅黑"/>
          <w:b/>
          <w:sz w:val="32"/>
          <w:szCs w:val="32"/>
        </w:rPr>
        <w:t>日</w:t>
      </w:r>
    </w:p>
    <w:p>
      <w:r>
        <w:t> </w:t>
      </w:r>
    </w:p>
    <w:p>
      <w:pPr>
        <w:rPr>
          <w:rFonts w:hint="eastAsia"/>
        </w:rPr>
      </w:pPr>
    </w:p>
    <w:p>
      <w:pPr>
        <w:rPr>
          <w:rFonts w:hint="eastAsia"/>
        </w:rPr>
      </w:pPr>
    </w:p>
    <w:p>
      <w:pPr>
        <w:rPr>
          <w:rFonts w:hint="eastAsia"/>
        </w:rPr>
      </w:pPr>
    </w:p>
    <w:p>
      <w:pPr>
        <w:jc w:val="center"/>
        <w:rPr>
          <w:rFonts w:hint="eastAsia" w:eastAsia="微软雅黑"/>
          <w:sz w:val="44"/>
          <w:szCs w:val="44"/>
        </w:rPr>
      </w:pPr>
      <w:r>
        <w:rPr>
          <w:rFonts w:hint="eastAsia" w:eastAsia="微软雅黑"/>
          <w:sz w:val="44"/>
          <w:szCs w:val="44"/>
        </w:rPr>
        <w:t>项目支出绩效评价报告</w:t>
      </w:r>
    </w:p>
    <w:p>
      <w:pPr>
        <w:ind w:firstLine="600" w:firstLineChars="200"/>
      </w:pPr>
    </w:p>
    <w:p>
      <w:pPr>
        <w:ind w:firstLine="640" w:firstLineChars="200"/>
        <w:rPr>
          <w:rFonts w:hint="eastAsia" w:eastAsia="黑体"/>
          <w:sz w:val="32"/>
          <w:szCs w:val="32"/>
        </w:rPr>
      </w:pPr>
      <w:r>
        <w:rPr>
          <w:rFonts w:hint="eastAsia" w:hAnsi="黑体" w:eastAsia="黑体"/>
          <w:sz w:val="32"/>
          <w:szCs w:val="32"/>
        </w:rPr>
        <w:t>一、基本情况</w:t>
      </w:r>
    </w:p>
    <w:p>
      <w:pPr>
        <w:spacing w:line="600" w:lineRule="exact"/>
        <w:ind w:firstLine="640" w:firstLineChars="200"/>
        <w:rPr>
          <w:rFonts w:hint="eastAsia" w:eastAsia="方正楷体简体"/>
          <w:sz w:val="32"/>
          <w:szCs w:val="32"/>
        </w:rPr>
      </w:pPr>
      <w:r>
        <w:rPr>
          <w:rFonts w:hint="eastAsia" w:eastAsia="方正楷体简体"/>
          <w:sz w:val="32"/>
          <w:szCs w:val="32"/>
        </w:rPr>
        <w:t>（一）项目概况。</w:t>
      </w:r>
    </w:p>
    <w:p>
      <w:pPr>
        <w:numPr>
          <w:ilvl w:val="0"/>
          <w:numId w:val="1"/>
        </w:numPr>
        <w:spacing w:line="600" w:lineRule="exact"/>
        <w:ind w:firstLine="640" w:firstLineChars="200"/>
        <w:rPr>
          <w:rFonts w:hint="eastAsia"/>
          <w:sz w:val="32"/>
          <w:szCs w:val="32"/>
        </w:rPr>
      </w:pPr>
      <w:r>
        <w:rPr>
          <w:rFonts w:hint="eastAsia"/>
          <w:sz w:val="32"/>
          <w:szCs w:val="32"/>
        </w:rPr>
        <w:t>项目背景</w:t>
      </w:r>
    </w:p>
    <w:p>
      <w:pPr>
        <w:numPr>
          <w:ilvl w:val="0"/>
          <w:numId w:val="0"/>
        </w:numPr>
        <w:spacing w:line="600" w:lineRule="exact"/>
        <w:ind w:firstLine="640" w:firstLineChars="200"/>
        <w:rPr>
          <w:rFonts w:hint="eastAsia"/>
          <w:color w:val="auto"/>
          <w:sz w:val="32"/>
          <w:szCs w:val="32"/>
        </w:rPr>
      </w:pPr>
      <w:r>
        <w:rPr>
          <w:rFonts w:hint="eastAsia"/>
          <w:color w:val="auto"/>
          <w:sz w:val="32"/>
          <w:szCs w:val="32"/>
        </w:rPr>
        <w:t>为全面贯彻落实博湖县美丽乡村建设工作的有关会议精神和安排部署，积极推动乡村振兴战略实施，改善农村人居环境，提高群众生活幸福指数，营造环境优美、生态宜居的美丽村镇。推进乡村振兴工作以来，本布图镇党委充分认识到农村人居环境工作事关广大农牧民群众的切身利益，形成主要领导带头抓、分管领导具体抓、乡村干部网格员抓好网格、群众广泛参与的工作格局。</w:t>
      </w:r>
    </w:p>
    <w:p>
      <w:pPr>
        <w:spacing w:line="600" w:lineRule="exact"/>
        <w:ind w:firstLine="640" w:firstLineChars="200"/>
        <w:rPr>
          <w:rFonts w:hint="eastAsia"/>
          <w:sz w:val="32"/>
          <w:szCs w:val="32"/>
        </w:rPr>
      </w:pPr>
      <w:r>
        <w:rPr>
          <w:rFonts w:hint="eastAsia"/>
          <w:sz w:val="32"/>
          <w:szCs w:val="32"/>
        </w:rPr>
        <w:t>2.主要内容及实施情况</w:t>
      </w:r>
    </w:p>
    <w:p>
      <w:pPr>
        <w:spacing w:line="600" w:lineRule="exact"/>
        <w:ind w:firstLine="640" w:firstLineChars="200"/>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rFonts w:hint="eastAsia"/>
          <w:sz w:val="32"/>
          <w:szCs w:val="32"/>
        </w:rPr>
        <w:t>主要内容：1、再格森诺尔村村民休闲场所凉棚275平方米、石桌配石凳20套、太阳能休闲景观灯50座、完善周边绿化及灌溉系统等。2、乡村环境整治改造1处，其中包括：乡村巷道整治改造、村组土坯房、旧房整治。3、农村人居环境整治示范村基础设施建设，零星硬化美化整治合计3360平方米</w:t>
      </w:r>
      <w:r>
        <w:rPr>
          <w:rFonts w:hint="eastAsia"/>
          <w:sz w:val="32"/>
          <w:szCs w:val="32"/>
          <w:lang w:eastAsia="zh-CN"/>
        </w:rPr>
        <w:t>。</w:t>
      </w:r>
    </w:p>
    <w:p>
      <w:pPr>
        <w:spacing w:line="600" w:lineRule="exact"/>
        <w:ind w:firstLine="640" w:firstLineChars="200"/>
        <w:rPr>
          <w:rFonts w:hint="eastAsia"/>
          <w:sz w:val="32"/>
          <w:szCs w:val="32"/>
        </w:rPr>
      </w:pPr>
      <w:r>
        <w:rPr>
          <w:rFonts w:hint="eastAsia"/>
          <w:sz w:val="32"/>
          <w:szCs w:val="32"/>
        </w:rPr>
        <w:t>（</w:t>
      </w:r>
      <w:r>
        <w:rPr>
          <w:rFonts w:hint="eastAsia"/>
          <w:sz w:val="32"/>
          <w:szCs w:val="32"/>
          <w:lang w:val="en-US" w:eastAsia="zh-CN"/>
        </w:rPr>
        <w:t>2</w:t>
      </w:r>
      <w:r>
        <w:rPr>
          <w:rFonts w:hint="eastAsia"/>
          <w:sz w:val="32"/>
          <w:szCs w:val="32"/>
        </w:rPr>
        <w:t>）实施情况：完成新建休息凉棚面积165平方米，乡村环境整治改造数量1处，零星硬化美化面积2016平方米。</w:t>
      </w:r>
    </w:p>
    <w:p>
      <w:pPr>
        <w:spacing w:line="600" w:lineRule="exact"/>
        <w:ind w:firstLine="640" w:firstLineChars="200"/>
        <w:rPr>
          <w:rFonts w:hint="eastAsia"/>
          <w:sz w:val="32"/>
          <w:szCs w:val="32"/>
        </w:rPr>
      </w:pPr>
      <w:r>
        <w:rPr>
          <w:rFonts w:hint="eastAsia"/>
          <w:sz w:val="32"/>
          <w:szCs w:val="32"/>
        </w:rPr>
        <w:t>3.资金投入和使用情况</w:t>
      </w:r>
    </w:p>
    <w:p>
      <w:pPr>
        <w:spacing w:line="600" w:lineRule="exact"/>
        <w:ind w:firstLine="640" w:firstLineChars="200"/>
        <w:rPr>
          <w:rFonts w:hint="eastAsia"/>
          <w:sz w:val="32"/>
          <w:szCs w:val="32"/>
        </w:rPr>
      </w:pPr>
      <w:r>
        <w:rPr>
          <w:rFonts w:hint="eastAsia"/>
          <w:sz w:val="32"/>
          <w:szCs w:val="32"/>
        </w:rPr>
        <w:t>（1）资金投入</w:t>
      </w:r>
      <w:r>
        <w:rPr>
          <w:rFonts w:hint="eastAsia"/>
          <w:sz w:val="32"/>
          <w:szCs w:val="32"/>
          <w:highlight w:val="none"/>
        </w:rPr>
        <w:t>情况：该项目年初预算数</w:t>
      </w:r>
      <w:r>
        <w:rPr>
          <w:rFonts w:hint="eastAsia"/>
          <w:sz w:val="32"/>
          <w:szCs w:val="32"/>
          <w:highlight w:val="none"/>
          <w:lang w:val="en-US" w:eastAsia="zh-CN"/>
        </w:rPr>
        <w:t>200</w:t>
      </w:r>
      <w:r>
        <w:rPr>
          <w:rFonts w:hint="eastAsia"/>
          <w:sz w:val="32"/>
          <w:szCs w:val="32"/>
          <w:highlight w:val="none"/>
        </w:rPr>
        <w:t>万元，全年预算数</w:t>
      </w:r>
      <w:r>
        <w:rPr>
          <w:rFonts w:hint="eastAsia"/>
          <w:sz w:val="32"/>
          <w:szCs w:val="32"/>
          <w:highlight w:val="none"/>
          <w:lang w:val="en-US" w:eastAsia="zh-CN"/>
        </w:rPr>
        <w:t>59.7</w:t>
      </w:r>
      <w:r>
        <w:rPr>
          <w:rFonts w:hint="eastAsia"/>
          <w:sz w:val="32"/>
          <w:szCs w:val="32"/>
          <w:highlight w:val="none"/>
        </w:rPr>
        <w:t>万元，实际总投入</w:t>
      </w:r>
      <w:r>
        <w:rPr>
          <w:rFonts w:hint="eastAsia"/>
          <w:sz w:val="32"/>
          <w:szCs w:val="32"/>
          <w:highlight w:val="none"/>
          <w:lang w:val="en-US" w:eastAsia="zh-CN"/>
        </w:rPr>
        <w:t>59.7</w:t>
      </w:r>
      <w:r>
        <w:rPr>
          <w:rFonts w:hint="eastAsia"/>
          <w:sz w:val="32"/>
          <w:szCs w:val="32"/>
          <w:highlight w:val="none"/>
        </w:rPr>
        <w:t>万</w:t>
      </w:r>
      <w:r>
        <w:rPr>
          <w:rFonts w:hint="eastAsia"/>
          <w:color w:val="auto"/>
          <w:sz w:val="32"/>
          <w:szCs w:val="32"/>
          <w:highlight w:val="none"/>
        </w:rPr>
        <w:t>元，该项目资金落实到位</w:t>
      </w:r>
      <w:r>
        <w:rPr>
          <w:rFonts w:hint="eastAsia"/>
          <w:color w:val="auto"/>
          <w:sz w:val="32"/>
          <w:szCs w:val="32"/>
          <w:highlight w:val="none"/>
          <w:lang w:val="en-US" w:eastAsia="zh-CN"/>
        </w:rPr>
        <w:t>59.7</w:t>
      </w:r>
      <w:r>
        <w:rPr>
          <w:rFonts w:hint="eastAsia"/>
          <w:color w:val="auto"/>
          <w:sz w:val="32"/>
          <w:szCs w:val="32"/>
          <w:highlight w:val="none"/>
        </w:rPr>
        <w:t>万元，资金来源为</w:t>
      </w:r>
      <w:r>
        <w:rPr>
          <w:rFonts w:hint="eastAsia"/>
          <w:color w:val="auto"/>
          <w:sz w:val="32"/>
          <w:szCs w:val="32"/>
          <w:highlight w:val="none"/>
          <w:lang w:eastAsia="zh-CN"/>
        </w:rPr>
        <w:t>：2023年中央</w:t>
      </w:r>
      <w:r>
        <w:rPr>
          <w:rFonts w:hint="eastAsia"/>
          <w:color w:val="auto"/>
          <w:sz w:val="32"/>
          <w:szCs w:val="32"/>
          <w:highlight w:val="none"/>
          <w:lang w:val="en-US" w:eastAsia="zh-CN"/>
        </w:rPr>
        <w:t>转移支付资金</w:t>
      </w:r>
      <w:r>
        <w:rPr>
          <w:rFonts w:hint="eastAsia"/>
          <w:color w:val="auto"/>
          <w:sz w:val="32"/>
          <w:szCs w:val="32"/>
          <w:highlight w:val="none"/>
        </w:rPr>
        <w:t>。</w:t>
      </w:r>
    </w:p>
    <w:p>
      <w:pPr>
        <w:spacing w:line="600" w:lineRule="exact"/>
        <w:ind w:firstLine="640" w:firstLineChars="200"/>
        <w:rPr>
          <w:rFonts w:hint="eastAsia" w:eastAsia="仿宋_GB2312"/>
          <w:sz w:val="32"/>
          <w:szCs w:val="32"/>
          <w:lang w:eastAsia="zh-CN"/>
        </w:rPr>
      </w:pPr>
      <w:r>
        <w:rPr>
          <w:rFonts w:hint="eastAsia"/>
          <w:sz w:val="32"/>
          <w:szCs w:val="32"/>
        </w:rPr>
        <w:t>（</w:t>
      </w:r>
      <w:r>
        <w:rPr>
          <w:rFonts w:hint="eastAsia"/>
          <w:sz w:val="32"/>
          <w:szCs w:val="32"/>
          <w:lang w:val="en-US" w:eastAsia="zh-CN"/>
        </w:rPr>
        <w:t>2</w:t>
      </w:r>
      <w:r>
        <w:rPr>
          <w:rFonts w:hint="eastAsia"/>
          <w:sz w:val="32"/>
          <w:szCs w:val="32"/>
        </w:rPr>
        <w:t>）资金使用情况：该项目年初预算数</w:t>
      </w:r>
      <w:r>
        <w:rPr>
          <w:rFonts w:hint="eastAsia"/>
          <w:sz w:val="32"/>
          <w:szCs w:val="32"/>
          <w:lang w:val="en-US" w:eastAsia="zh-CN"/>
        </w:rPr>
        <w:t>200</w:t>
      </w:r>
      <w:r>
        <w:rPr>
          <w:rFonts w:hint="eastAsia"/>
          <w:sz w:val="32"/>
          <w:szCs w:val="32"/>
        </w:rPr>
        <w:t>万元，全年预算数</w:t>
      </w:r>
      <w:r>
        <w:rPr>
          <w:rFonts w:hint="eastAsia"/>
          <w:sz w:val="32"/>
          <w:szCs w:val="32"/>
          <w:lang w:val="en-US" w:eastAsia="zh-CN"/>
        </w:rPr>
        <w:t>59.7</w:t>
      </w:r>
      <w:r>
        <w:rPr>
          <w:rFonts w:hint="eastAsia"/>
          <w:sz w:val="32"/>
          <w:szCs w:val="32"/>
        </w:rPr>
        <w:t>万元，全年执行</w:t>
      </w:r>
      <w:r>
        <w:rPr>
          <w:rFonts w:hint="eastAsia"/>
          <w:sz w:val="32"/>
          <w:szCs w:val="32"/>
          <w:lang w:val="en-US" w:eastAsia="zh-CN"/>
        </w:rPr>
        <w:t>59.7</w:t>
      </w:r>
      <w:r>
        <w:rPr>
          <w:rFonts w:hint="eastAsia"/>
          <w:sz w:val="32"/>
          <w:szCs w:val="32"/>
        </w:rPr>
        <w:t>万元，预算执行率为</w:t>
      </w:r>
      <w:r>
        <w:rPr>
          <w:rFonts w:hint="eastAsia"/>
          <w:sz w:val="32"/>
          <w:szCs w:val="32"/>
          <w:lang w:val="en-US" w:eastAsia="zh-CN"/>
        </w:rPr>
        <w:t>100</w:t>
      </w:r>
      <w:r>
        <w:rPr>
          <w:rFonts w:hint="eastAsia"/>
          <w:sz w:val="32"/>
          <w:szCs w:val="32"/>
        </w:rPr>
        <w:t>%，</w:t>
      </w:r>
      <w:r>
        <w:rPr>
          <w:rFonts w:hint="eastAsia"/>
          <w:sz w:val="32"/>
          <w:szCs w:val="32"/>
          <w:highlight w:val="none"/>
        </w:rPr>
        <w:t>用于：新建休息凉棚面积165平方米，</w:t>
      </w:r>
      <w:r>
        <w:rPr>
          <w:rFonts w:hint="eastAsia"/>
          <w:sz w:val="32"/>
          <w:szCs w:val="32"/>
          <w:highlight w:val="none"/>
          <w:lang w:val="en-US" w:eastAsia="zh-CN"/>
        </w:rPr>
        <w:t>成本</w:t>
      </w:r>
      <w:r>
        <w:rPr>
          <w:rFonts w:hint="eastAsia"/>
          <w:sz w:val="32"/>
          <w:szCs w:val="32"/>
          <w:highlight w:val="none"/>
        </w:rPr>
        <w:t>17.90万元</w:t>
      </w:r>
      <w:r>
        <w:rPr>
          <w:rFonts w:hint="eastAsia"/>
          <w:sz w:val="32"/>
          <w:szCs w:val="32"/>
          <w:highlight w:val="none"/>
          <w:lang w:eastAsia="zh-CN"/>
        </w:rPr>
        <w:t>；</w:t>
      </w:r>
      <w:r>
        <w:rPr>
          <w:rFonts w:hint="eastAsia"/>
          <w:sz w:val="32"/>
          <w:szCs w:val="32"/>
          <w:highlight w:val="none"/>
        </w:rPr>
        <w:t>乡村环境整治改造数量1处，</w:t>
      </w:r>
      <w:r>
        <w:rPr>
          <w:rFonts w:hint="eastAsia"/>
          <w:sz w:val="32"/>
          <w:szCs w:val="32"/>
          <w:highlight w:val="none"/>
          <w:lang w:val="en-US" w:eastAsia="zh-CN"/>
        </w:rPr>
        <w:t>成本</w:t>
      </w:r>
      <w:r>
        <w:rPr>
          <w:rFonts w:hint="eastAsia"/>
          <w:sz w:val="32"/>
          <w:szCs w:val="32"/>
          <w:highlight w:val="none"/>
        </w:rPr>
        <w:t>25.10万元</w:t>
      </w:r>
      <w:r>
        <w:rPr>
          <w:rFonts w:hint="eastAsia"/>
          <w:sz w:val="32"/>
          <w:szCs w:val="32"/>
          <w:highlight w:val="none"/>
          <w:lang w:eastAsia="zh-CN"/>
        </w:rPr>
        <w:t>；</w:t>
      </w:r>
      <w:r>
        <w:rPr>
          <w:rFonts w:hint="eastAsia"/>
          <w:sz w:val="32"/>
          <w:szCs w:val="32"/>
          <w:highlight w:val="none"/>
        </w:rPr>
        <w:t>零星硬化美化面积2016平方米</w:t>
      </w:r>
      <w:r>
        <w:rPr>
          <w:rFonts w:hint="eastAsia"/>
          <w:sz w:val="32"/>
          <w:szCs w:val="32"/>
          <w:highlight w:val="none"/>
          <w:lang w:eastAsia="zh-CN"/>
        </w:rPr>
        <w:t>，</w:t>
      </w:r>
      <w:r>
        <w:rPr>
          <w:rFonts w:hint="eastAsia"/>
          <w:sz w:val="32"/>
          <w:szCs w:val="32"/>
          <w:highlight w:val="none"/>
          <w:lang w:val="en-US" w:eastAsia="zh-CN"/>
        </w:rPr>
        <w:t>成本</w:t>
      </w:r>
      <w:r>
        <w:rPr>
          <w:rFonts w:hint="eastAsia"/>
          <w:sz w:val="32"/>
          <w:szCs w:val="32"/>
          <w:highlight w:val="none"/>
        </w:rPr>
        <w:t>16.70万元。</w:t>
      </w:r>
    </w:p>
    <w:p>
      <w:pPr>
        <w:spacing w:line="600" w:lineRule="exact"/>
        <w:ind w:firstLine="640" w:firstLineChars="200"/>
        <w:rPr>
          <w:rFonts w:hint="eastAsia" w:eastAsia="方正楷体简体"/>
          <w:sz w:val="32"/>
          <w:szCs w:val="32"/>
        </w:rPr>
      </w:pPr>
      <w:r>
        <w:rPr>
          <w:rFonts w:hint="eastAsia" w:eastAsia="方正楷体简体"/>
          <w:sz w:val="32"/>
          <w:szCs w:val="32"/>
        </w:rPr>
        <w:t>（二）项目绩效目标。</w:t>
      </w:r>
    </w:p>
    <w:p>
      <w:pPr>
        <w:spacing w:line="600" w:lineRule="exact"/>
        <w:ind w:firstLine="640" w:firstLineChars="200"/>
        <w:rPr>
          <w:rFonts w:hint="eastAsia"/>
          <w:sz w:val="32"/>
          <w:szCs w:val="32"/>
        </w:rPr>
      </w:pPr>
      <w:r>
        <w:rPr>
          <w:rFonts w:hint="eastAsia"/>
          <w:sz w:val="32"/>
          <w:szCs w:val="32"/>
        </w:rPr>
        <w:t>1.总体目标：修建休闲凉棚275平方米，及配套附属设施</w:t>
      </w:r>
      <w:r>
        <w:rPr>
          <w:rFonts w:hint="eastAsia"/>
          <w:sz w:val="32"/>
          <w:szCs w:val="32"/>
          <w:lang w:eastAsia="zh-CN"/>
        </w:rPr>
        <w:t>；</w:t>
      </w:r>
      <w:r>
        <w:rPr>
          <w:rFonts w:hint="eastAsia"/>
          <w:sz w:val="32"/>
          <w:szCs w:val="32"/>
        </w:rPr>
        <w:t>乡村环境整治改造1处，其中包括：乡村巷道整治改造、村组土坯房、旧房整治</w:t>
      </w:r>
      <w:r>
        <w:rPr>
          <w:rFonts w:hint="eastAsia"/>
          <w:sz w:val="32"/>
          <w:szCs w:val="32"/>
          <w:lang w:eastAsia="zh-CN"/>
        </w:rPr>
        <w:t>；</w:t>
      </w:r>
      <w:r>
        <w:rPr>
          <w:rFonts w:hint="eastAsia"/>
          <w:sz w:val="32"/>
          <w:szCs w:val="32"/>
        </w:rPr>
        <w:t>农村人居环境整治示范村基础设施建设，零星硬化美化整治合计3360平方米。</w:t>
      </w:r>
    </w:p>
    <w:p>
      <w:pPr>
        <w:spacing w:line="600" w:lineRule="exact"/>
        <w:ind w:firstLine="640" w:firstLineChars="200"/>
        <w:rPr>
          <w:rFonts w:hint="eastAsia" w:eastAsia="仿宋_GB2312"/>
          <w:sz w:val="32"/>
          <w:szCs w:val="32"/>
          <w:highlight w:val="yellow"/>
          <w:lang w:eastAsia="zh-CN"/>
        </w:rPr>
      </w:pPr>
      <w:r>
        <w:rPr>
          <w:rFonts w:hint="eastAsia"/>
          <w:sz w:val="32"/>
          <w:szCs w:val="32"/>
        </w:rPr>
        <w:t>2.阶段性目标：</w:t>
      </w:r>
      <w:r>
        <w:rPr>
          <w:rFonts w:hint="eastAsia"/>
          <w:sz w:val="32"/>
          <w:szCs w:val="32"/>
          <w:lang w:val="en-US" w:eastAsia="zh-CN"/>
        </w:rPr>
        <w:t>根据</w:t>
      </w:r>
      <w:r>
        <w:rPr>
          <w:rFonts w:hint="eastAsia"/>
          <w:sz w:val="32"/>
          <w:szCs w:val="32"/>
          <w:highlight w:val="none"/>
          <w:lang w:val="en-US" w:eastAsia="zh-CN"/>
        </w:rPr>
        <w:t>合同，</w:t>
      </w:r>
      <w:r>
        <w:rPr>
          <w:rFonts w:hint="eastAsia"/>
          <w:sz w:val="32"/>
          <w:szCs w:val="32"/>
          <w:highlight w:val="none"/>
        </w:rPr>
        <w:t>本布图镇再格森诺尔村美丽乡村建设试点项目</w:t>
      </w:r>
      <w:r>
        <w:rPr>
          <w:rFonts w:hint="eastAsia"/>
          <w:sz w:val="32"/>
          <w:szCs w:val="32"/>
          <w:highlight w:val="none"/>
          <w:lang w:val="en-US" w:eastAsia="zh-CN"/>
        </w:rPr>
        <w:t>计划</w:t>
      </w:r>
      <w:r>
        <w:rPr>
          <w:rFonts w:hint="eastAsia"/>
          <w:sz w:val="32"/>
          <w:szCs w:val="32"/>
          <w:highlight w:val="none"/>
        </w:rPr>
        <w:t>于2023年9月3日开工，</w:t>
      </w:r>
      <w:r>
        <w:rPr>
          <w:rFonts w:hint="eastAsia"/>
          <w:sz w:val="32"/>
          <w:szCs w:val="32"/>
          <w:highlight w:val="none"/>
          <w:lang w:val="en-US" w:eastAsia="zh-CN"/>
        </w:rPr>
        <w:t>预计截止2023年12月28日</w:t>
      </w:r>
      <w:r>
        <w:rPr>
          <w:rFonts w:hint="eastAsia"/>
          <w:sz w:val="32"/>
          <w:szCs w:val="32"/>
          <w:highlight w:val="none"/>
        </w:rPr>
        <w:t>修建休闲凉棚165平方米、零星硬化美化整治面积2016平方米，使村组内的环境有效提升，人居环境也有所改善。</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二、绩效评价工作开展情况</w:t>
      </w:r>
    </w:p>
    <w:p>
      <w:pPr>
        <w:spacing w:line="600" w:lineRule="exact"/>
        <w:ind w:firstLine="640" w:firstLineChars="200"/>
        <w:rPr>
          <w:rFonts w:hint="eastAsia" w:eastAsia="方正楷体简体"/>
          <w:sz w:val="32"/>
          <w:szCs w:val="32"/>
        </w:rPr>
      </w:pPr>
      <w:r>
        <w:rPr>
          <w:rFonts w:hint="eastAsia" w:eastAsia="方正楷体简体"/>
          <w:sz w:val="32"/>
          <w:szCs w:val="32"/>
        </w:rPr>
        <w:t>（一）绩效评价目的、对象和范围。</w:t>
      </w:r>
    </w:p>
    <w:p>
      <w:pPr>
        <w:spacing w:line="600" w:lineRule="exact"/>
        <w:ind w:firstLine="640" w:firstLineChars="200"/>
        <w:rPr>
          <w:rFonts w:hint="eastAsia"/>
          <w:sz w:val="32"/>
          <w:szCs w:val="32"/>
        </w:rPr>
      </w:pPr>
      <w:r>
        <w:rPr>
          <w:rFonts w:hint="eastAsia"/>
          <w:sz w:val="32"/>
          <w:szCs w:val="32"/>
        </w:rPr>
        <w:t>1.绩效评价目的：</w:t>
      </w:r>
    </w:p>
    <w:p>
      <w:pPr>
        <w:spacing w:line="600" w:lineRule="exact"/>
        <w:ind w:firstLine="640" w:firstLineChars="200"/>
        <w:rPr>
          <w:rFonts w:hint="eastAsia"/>
          <w:color w:val="auto"/>
          <w:sz w:val="32"/>
          <w:szCs w:val="32"/>
        </w:rPr>
      </w:pPr>
      <w:r>
        <w:rPr>
          <w:rFonts w:hint="eastAsia"/>
          <w:color w:val="auto"/>
          <w:sz w:val="32"/>
          <w:szCs w:val="32"/>
        </w:rPr>
        <w:t>通过绩效评价，客观地评判项目的管理绩效，了解和掌握本布图镇再格森诺尔村美丽乡村建设试点项目经费的具体情况，评价该项目资金安排的科学性、合理性、规范性和资金的使用成效，及时总结项目管理经验，完善项目管理办法，提高项目管理水平和资金使用效益。促使我单位</w:t>
      </w:r>
      <w:r>
        <w:rPr>
          <w:rFonts w:hint="eastAsia"/>
          <w:color w:val="auto"/>
          <w:sz w:val="32"/>
          <w:szCs w:val="32"/>
          <w:highlight w:val="none"/>
        </w:rPr>
        <w:t>根据</w:t>
      </w:r>
      <w:r>
        <w:rPr>
          <w:rFonts w:hint="eastAsia"/>
          <w:color w:val="auto"/>
          <w:sz w:val="32"/>
          <w:szCs w:val="32"/>
        </w:rPr>
        <w:t>绩效评价中发现的问题，认真加以整改，及时调整和完善单位的工作计划并加强项目绩效管理，同时为项目后续资</w:t>
      </w:r>
      <w:r>
        <w:rPr>
          <w:rFonts w:hint="eastAsia"/>
          <w:sz w:val="32"/>
          <w:szCs w:val="32"/>
        </w:rPr>
        <w:t>金投入</w:t>
      </w:r>
      <w:r>
        <w:rPr>
          <w:rFonts w:hint="eastAsia"/>
          <w:color w:val="auto"/>
          <w:sz w:val="32"/>
          <w:szCs w:val="32"/>
        </w:rPr>
        <w:t>、分配和管理提供决策依据。</w:t>
      </w:r>
    </w:p>
    <w:p>
      <w:pPr>
        <w:spacing w:line="600" w:lineRule="exact"/>
        <w:ind w:firstLine="640" w:firstLineChars="200"/>
        <w:rPr>
          <w:rFonts w:hint="eastAsia"/>
          <w:sz w:val="32"/>
          <w:szCs w:val="32"/>
        </w:rPr>
      </w:pPr>
      <w:r>
        <w:rPr>
          <w:rFonts w:hint="eastAsia"/>
          <w:sz w:val="32"/>
          <w:szCs w:val="32"/>
        </w:rPr>
        <w:t>2.绩效评价对象：本布图镇再格森诺尔村美丽乡村建设试点项目</w:t>
      </w:r>
    </w:p>
    <w:p>
      <w:pPr>
        <w:spacing w:line="600" w:lineRule="exact"/>
        <w:ind w:firstLine="640" w:firstLineChars="200"/>
        <w:rPr>
          <w:rFonts w:hint="eastAsia"/>
          <w:sz w:val="32"/>
          <w:szCs w:val="32"/>
        </w:rPr>
      </w:pPr>
      <w:r>
        <w:rPr>
          <w:rFonts w:hint="eastAsia"/>
          <w:sz w:val="32"/>
          <w:szCs w:val="32"/>
        </w:rPr>
        <w:t>3.绩效评价范围：</w:t>
      </w:r>
      <w:bookmarkStart w:id="0" w:name="_GoBack"/>
      <w:bookmarkEnd w:id="0"/>
    </w:p>
    <w:p>
      <w:pPr>
        <w:spacing w:line="600" w:lineRule="exact"/>
        <w:ind w:firstLine="640" w:firstLineChars="200"/>
        <w:rPr>
          <w:rFonts w:hint="eastAsia"/>
          <w:sz w:val="32"/>
          <w:szCs w:val="32"/>
        </w:rPr>
      </w:pPr>
      <w:r>
        <w:rPr>
          <w:rFonts w:hint="eastAsia"/>
          <w:sz w:val="32"/>
          <w:szCs w:val="32"/>
        </w:rPr>
        <w:t>本次评价从项目决策（包括绩效目标、决策过程）、项目管理（包括项目资金、项目实施）、项</w:t>
      </w:r>
      <w:r>
        <w:rPr>
          <w:rFonts w:hint="eastAsia"/>
          <w:color w:val="auto"/>
          <w:sz w:val="32"/>
          <w:szCs w:val="32"/>
        </w:rPr>
        <w:t>目</w:t>
      </w:r>
      <w:r>
        <w:rPr>
          <w:rFonts w:hint="eastAsia"/>
          <w:sz w:val="32"/>
          <w:szCs w:val="32"/>
        </w:rPr>
        <w:t>产出（包括项目产出数量、产出质量、产出时效和产出成本）项目效益四个维度进行</w:t>
      </w:r>
      <w:r>
        <w:rPr>
          <w:rFonts w:hint="eastAsia"/>
          <w:sz w:val="32"/>
          <w:szCs w:val="32"/>
          <w:lang w:val="en-US" w:eastAsia="zh-CN"/>
        </w:rPr>
        <w:t>2023年博湖县</w:t>
      </w:r>
      <w:r>
        <w:rPr>
          <w:rFonts w:hint="eastAsia"/>
          <w:sz w:val="32"/>
          <w:szCs w:val="32"/>
        </w:rPr>
        <w:t>本布图镇再格森诺尔村美丽乡村建设试点项目评价，评</w:t>
      </w:r>
      <w:r>
        <w:rPr>
          <w:rFonts w:hint="eastAsia"/>
          <w:sz w:val="32"/>
          <w:szCs w:val="32"/>
        </w:rPr>
        <w:t>价核心为资金的支出完成情况和效果。</w:t>
      </w:r>
    </w:p>
    <w:p>
      <w:pPr>
        <w:spacing w:line="600" w:lineRule="exact"/>
        <w:ind w:firstLine="640" w:firstLineChars="200"/>
        <w:rPr>
          <w:rFonts w:hint="eastAsia" w:eastAsia="方正楷体简体"/>
          <w:sz w:val="32"/>
          <w:szCs w:val="32"/>
        </w:rPr>
      </w:pPr>
      <w:r>
        <w:rPr>
          <w:rFonts w:hint="eastAsia" w:eastAsia="方正楷体简体"/>
          <w:sz w:val="32"/>
          <w:szCs w:val="32"/>
        </w:rPr>
        <w:t>（二）绩效评价原则、评价指标体系、评价方法、评价标准等。</w:t>
      </w:r>
    </w:p>
    <w:p>
      <w:pPr>
        <w:spacing w:line="600" w:lineRule="exact"/>
        <w:ind w:firstLine="640" w:firstLineChars="200"/>
        <w:rPr>
          <w:rFonts w:hint="eastAsia"/>
          <w:sz w:val="32"/>
          <w:szCs w:val="32"/>
        </w:rPr>
      </w:pPr>
      <w:r>
        <w:rPr>
          <w:rFonts w:hint="eastAsia"/>
          <w:sz w:val="32"/>
          <w:szCs w:val="32"/>
        </w:rPr>
        <w:t>1.绩效评价原则</w:t>
      </w:r>
    </w:p>
    <w:p>
      <w:pPr>
        <w:spacing w:line="600" w:lineRule="exact"/>
        <w:ind w:firstLine="640" w:firstLineChars="200"/>
        <w:rPr>
          <w:rFonts w:hint="eastAsia"/>
          <w:sz w:val="32"/>
          <w:szCs w:val="32"/>
        </w:rPr>
      </w:pPr>
      <w:r>
        <w:rPr>
          <w:rFonts w:hint="eastAsia"/>
          <w:sz w:val="32"/>
          <w:szCs w:val="32"/>
        </w:rPr>
        <w:t>（1）科学公正。本次项目支出绩效评价运用科学合理的方法，按照规范的程序，对项目绩效进行客观、公正的反映。</w:t>
      </w:r>
    </w:p>
    <w:p>
      <w:pPr>
        <w:spacing w:line="600" w:lineRule="exact"/>
        <w:ind w:firstLine="640" w:firstLineChars="200"/>
        <w:rPr>
          <w:rFonts w:hint="eastAsia"/>
          <w:sz w:val="32"/>
          <w:szCs w:val="32"/>
        </w:rPr>
      </w:pPr>
      <w:r>
        <w:rPr>
          <w:rFonts w:hint="eastAsia"/>
          <w:sz w:val="32"/>
          <w:szCs w:val="32"/>
        </w:rPr>
        <w:t>（2）统筹兼顾。本次项目支出绩效评价由本单位自主实施，即“谁支出、谁自评”。</w:t>
      </w:r>
    </w:p>
    <w:p>
      <w:pPr>
        <w:spacing w:line="600" w:lineRule="exact"/>
        <w:ind w:firstLine="640" w:firstLineChars="200"/>
        <w:rPr>
          <w:rFonts w:hint="eastAsia"/>
          <w:sz w:val="32"/>
          <w:szCs w:val="32"/>
        </w:rPr>
      </w:pPr>
      <w:r>
        <w:rPr>
          <w:rFonts w:hint="eastAsia"/>
          <w:sz w:val="32"/>
          <w:szCs w:val="32"/>
        </w:rPr>
        <w:t>（3）激励约束。本次项目支出绩效评价结果与预算安排、政策调整、改进管理实质性挂钩，体现奖优罚劣和激励相容导向，有效要安排、低效要压减、无效要问责。</w:t>
      </w:r>
    </w:p>
    <w:p>
      <w:pPr>
        <w:spacing w:line="600" w:lineRule="exact"/>
        <w:ind w:firstLine="640" w:firstLineChars="200"/>
        <w:rPr>
          <w:sz w:val="32"/>
          <w:szCs w:val="32"/>
          <w:highlight w:val="none"/>
        </w:rPr>
      </w:pPr>
      <w:r>
        <w:rPr>
          <w:rFonts w:hint="eastAsia"/>
          <w:color w:val="auto"/>
          <w:sz w:val="32"/>
          <w:szCs w:val="32"/>
          <w:highlight w:val="none"/>
        </w:rPr>
        <w:t>（4）公开透明。本次项目支出绩效评价结果已依法依规公开在</w:t>
      </w:r>
      <w:r>
        <w:rPr>
          <w:rFonts w:hint="eastAsia"/>
          <w:color w:val="auto"/>
          <w:sz w:val="32"/>
          <w:szCs w:val="32"/>
          <w:highlight w:val="none"/>
          <w:lang w:val="en-US" w:eastAsia="zh-CN"/>
        </w:rPr>
        <w:t>本布图镇公示栏</w:t>
      </w:r>
      <w:r>
        <w:rPr>
          <w:rFonts w:hint="eastAsia"/>
          <w:color w:val="auto"/>
          <w:sz w:val="32"/>
          <w:szCs w:val="32"/>
          <w:highlight w:val="none"/>
        </w:rPr>
        <w:t>，并</w:t>
      </w:r>
      <w:r>
        <w:rPr>
          <w:rFonts w:hint="eastAsia"/>
          <w:sz w:val="32"/>
          <w:szCs w:val="32"/>
          <w:highlight w:val="none"/>
        </w:rPr>
        <w:t>自觉接受社会监督。</w:t>
      </w:r>
    </w:p>
    <w:p>
      <w:pPr>
        <w:spacing w:line="600" w:lineRule="exact"/>
        <w:ind w:firstLine="640" w:firstLineChars="200"/>
        <w:rPr>
          <w:rFonts w:hint="eastAsia"/>
          <w:sz w:val="32"/>
          <w:szCs w:val="32"/>
        </w:rPr>
      </w:pPr>
      <w:r>
        <w:rPr>
          <w:rFonts w:hint="eastAsia"/>
          <w:sz w:val="32"/>
          <w:szCs w:val="32"/>
        </w:rPr>
        <w:t>2.评价指标体系（附表说明）</w:t>
      </w:r>
    </w:p>
    <w:p>
      <w:pPr>
        <w:rPr>
          <w:rFonts w:hint="eastAsia"/>
          <w:sz w:val="32"/>
          <w:szCs w:val="32"/>
        </w:rPr>
      </w:pPr>
      <w:r>
        <w:rPr>
          <w:rFonts w:hint="eastAsia"/>
          <w:sz w:val="32"/>
          <w:szCs w:val="32"/>
        </w:rPr>
        <w:br w:type="page"/>
      </w:r>
    </w:p>
    <w:p>
      <w:pPr>
        <w:spacing w:line="600" w:lineRule="exact"/>
        <w:ind w:firstLine="640" w:firstLineChars="200"/>
        <w:jc w:val="center"/>
        <w:rPr>
          <w:rFonts w:hint="eastAsia"/>
          <w:sz w:val="32"/>
          <w:szCs w:val="32"/>
        </w:rPr>
      </w:pPr>
      <w:r>
        <w:rPr>
          <w:rFonts w:hint="eastAsia"/>
          <w:color w:val="auto"/>
          <w:sz w:val="32"/>
          <w:szCs w:val="32"/>
        </w:rPr>
        <w:t>本布图镇再格森诺尔村美丽乡村建设试点项目支</w:t>
      </w:r>
      <w:r>
        <w:rPr>
          <w:rFonts w:hint="eastAsia"/>
          <w:sz w:val="32"/>
          <w:szCs w:val="32"/>
        </w:rPr>
        <w:t>出绩效评价指标体系</w:t>
      </w:r>
    </w:p>
    <w:tbl>
      <w:tblPr>
        <w:tblStyle w:val="8"/>
        <w:tblW w:w="9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57"/>
        <w:gridCol w:w="1728"/>
        <w:gridCol w:w="3571"/>
        <w:gridCol w:w="90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blHeader/>
          <w:jc w:val="center"/>
        </w:trPr>
        <w:tc>
          <w:tcPr>
            <w:tcW w:w="690" w:type="dxa"/>
            <w:shd w:val="clear" w:color="auto" w:fill="BEBEBE" w:themeFill="background1" w:themeFillShade="BF"/>
            <w:vAlign w:val="center"/>
          </w:tcPr>
          <w:p>
            <w:pPr>
              <w:widowControl/>
              <w:spacing w:line="0" w:lineRule="atLeas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一级指标</w:t>
            </w:r>
          </w:p>
        </w:tc>
        <w:tc>
          <w:tcPr>
            <w:tcW w:w="1357" w:type="dxa"/>
            <w:shd w:val="clear" w:color="auto" w:fill="BEBEBE" w:themeFill="background1" w:themeFillShade="BF"/>
            <w:vAlign w:val="center"/>
          </w:tcPr>
          <w:p>
            <w:pPr>
              <w:widowControl/>
              <w:spacing w:line="0" w:lineRule="atLeas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二级指标</w:t>
            </w:r>
          </w:p>
        </w:tc>
        <w:tc>
          <w:tcPr>
            <w:tcW w:w="1728" w:type="dxa"/>
            <w:shd w:val="clear" w:color="auto" w:fill="BEBEBE" w:themeFill="background1" w:themeFillShade="BF"/>
            <w:vAlign w:val="center"/>
          </w:tcPr>
          <w:p>
            <w:pPr>
              <w:widowControl/>
              <w:spacing w:line="0" w:lineRule="atLeas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三级指标</w:t>
            </w:r>
          </w:p>
        </w:tc>
        <w:tc>
          <w:tcPr>
            <w:tcW w:w="3571" w:type="dxa"/>
            <w:shd w:val="clear" w:color="auto" w:fill="BEBEBE" w:themeFill="background1" w:themeFillShade="BF"/>
          </w:tcPr>
          <w:p>
            <w:pPr>
              <w:widowControl/>
              <w:spacing w:line="600" w:lineRule="auto"/>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指标解释</w:t>
            </w:r>
          </w:p>
        </w:tc>
        <w:tc>
          <w:tcPr>
            <w:tcW w:w="908" w:type="dxa"/>
            <w:shd w:val="clear" w:color="auto" w:fill="BEBEBE" w:themeFill="background1" w:themeFillShade="BF"/>
          </w:tcPr>
          <w:p>
            <w:pPr>
              <w:widowControl/>
              <w:spacing w:line="600" w:lineRule="auto"/>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分值</w:t>
            </w:r>
          </w:p>
        </w:tc>
        <w:tc>
          <w:tcPr>
            <w:tcW w:w="801" w:type="dxa"/>
            <w:shd w:val="clear" w:color="auto" w:fill="BEBEBE" w:themeFill="background1" w:themeFillShade="BF"/>
          </w:tcPr>
          <w:p>
            <w:pPr>
              <w:widowControl/>
              <w:spacing w:line="600" w:lineRule="auto"/>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690" w:type="dxa"/>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决策</w:t>
            </w:r>
          </w:p>
        </w:tc>
        <w:tc>
          <w:tcPr>
            <w:tcW w:w="1357" w:type="dxa"/>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项目立项　</w:t>
            </w:r>
          </w:p>
        </w:tc>
        <w:tc>
          <w:tcPr>
            <w:tcW w:w="1728"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立项依据</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充分性</w:t>
            </w:r>
          </w:p>
        </w:tc>
        <w:tc>
          <w:tcPr>
            <w:tcW w:w="3571"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项目立项是否符合法律法规、相关政策、发展规划以及部门职责，用以反映和考核项目立项依据情况。</w:t>
            </w:r>
          </w:p>
        </w:tc>
        <w:tc>
          <w:tcPr>
            <w:tcW w:w="908" w:type="dxa"/>
            <w:shd w:val="clear" w:color="auto"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3</w:t>
            </w:r>
          </w:p>
        </w:tc>
        <w:tc>
          <w:tcPr>
            <w:tcW w:w="801"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90" w:type="dxa"/>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1357"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728"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立项程序</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规范性</w:t>
            </w:r>
          </w:p>
        </w:tc>
        <w:tc>
          <w:tcPr>
            <w:tcW w:w="3571"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项目申请、设立过程是否符合相关要求，用以反映和考核项目立项的规范情况</w:t>
            </w:r>
          </w:p>
        </w:tc>
        <w:tc>
          <w:tcPr>
            <w:tcW w:w="908"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3</w:t>
            </w:r>
          </w:p>
        </w:tc>
        <w:tc>
          <w:tcPr>
            <w:tcW w:w="801"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690" w:type="dxa"/>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1357" w:type="dxa"/>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绩效目标</w:t>
            </w:r>
          </w:p>
        </w:tc>
        <w:tc>
          <w:tcPr>
            <w:tcW w:w="1728"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绩效目标</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合理性</w:t>
            </w:r>
          </w:p>
        </w:tc>
        <w:tc>
          <w:tcPr>
            <w:tcW w:w="3571"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项目所设定的绩效目标是否依据充分，是否符合客观实际，用以反映和考核项目绩效目标与项目实施的相符情况。</w:t>
            </w:r>
          </w:p>
        </w:tc>
        <w:tc>
          <w:tcPr>
            <w:tcW w:w="908"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3</w:t>
            </w:r>
          </w:p>
        </w:tc>
        <w:tc>
          <w:tcPr>
            <w:tcW w:w="801"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90"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357"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728"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绩效指标</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明确性</w:t>
            </w:r>
          </w:p>
        </w:tc>
        <w:tc>
          <w:tcPr>
            <w:tcW w:w="3571"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依据绩效目标设定的绩效指标是否清晰、细化、可衡量等，用以反映和考核项目绩效目标的明细化情况。</w:t>
            </w:r>
          </w:p>
        </w:tc>
        <w:tc>
          <w:tcPr>
            <w:tcW w:w="908"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3</w:t>
            </w:r>
          </w:p>
        </w:tc>
        <w:tc>
          <w:tcPr>
            <w:tcW w:w="801"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90" w:type="dxa"/>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1357" w:type="dxa"/>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资金投入</w:t>
            </w:r>
          </w:p>
          <w:p>
            <w:pPr>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728"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预算编制</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科学性</w:t>
            </w:r>
          </w:p>
        </w:tc>
        <w:tc>
          <w:tcPr>
            <w:tcW w:w="3571"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项目预算编制是否经过科学论证、有明确标准，资金额度与年度目标是否相适应，用以反映和考核项目预算编制的科学性、合理性情况。</w:t>
            </w:r>
          </w:p>
        </w:tc>
        <w:tc>
          <w:tcPr>
            <w:tcW w:w="908"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801"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90"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357"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728"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资金分配</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合理性</w:t>
            </w:r>
          </w:p>
        </w:tc>
        <w:tc>
          <w:tcPr>
            <w:tcW w:w="3571"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项目预算资金分配是否有测算依据，与补助单位或地方实际是否相适应，用以反映和考核项目预算资金分配的科学性、合理性情况。</w:t>
            </w:r>
          </w:p>
        </w:tc>
        <w:tc>
          <w:tcPr>
            <w:tcW w:w="908"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801"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690" w:type="dxa"/>
            <w:vMerge w:val="restart"/>
            <w:shd w:val="clear" w:color="auto" w:fill="FFFFFF"/>
            <w:vAlign w:val="center"/>
          </w:tcPr>
          <w:p>
            <w:pPr>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过程</w:t>
            </w:r>
          </w:p>
        </w:tc>
        <w:tc>
          <w:tcPr>
            <w:tcW w:w="1357" w:type="dxa"/>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资金管理</w:t>
            </w:r>
          </w:p>
        </w:tc>
        <w:tc>
          <w:tcPr>
            <w:tcW w:w="1728"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资金到位率</w:t>
            </w:r>
          </w:p>
        </w:tc>
        <w:tc>
          <w:tcPr>
            <w:tcW w:w="3571"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实际到位资金与预算资金的比率，用以反映和考核资金落实情况对项目实施的总体保障程度。</w:t>
            </w:r>
          </w:p>
        </w:tc>
        <w:tc>
          <w:tcPr>
            <w:tcW w:w="908"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801"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690" w:type="dxa"/>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1357" w:type="dxa"/>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1728"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预算执行率</w:t>
            </w:r>
          </w:p>
        </w:tc>
        <w:tc>
          <w:tcPr>
            <w:tcW w:w="3571"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项目预算资金是否按照计划执行，用以反映或考核项目预算执行情况</w:t>
            </w:r>
          </w:p>
        </w:tc>
        <w:tc>
          <w:tcPr>
            <w:tcW w:w="908"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801"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90" w:type="dxa"/>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1357"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资金管理</w:t>
            </w:r>
          </w:p>
        </w:tc>
        <w:tc>
          <w:tcPr>
            <w:tcW w:w="1728"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资金使用</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合规性</w:t>
            </w:r>
          </w:p>
        </w:tc>
        <w:tc>
          <w:tcPr>
            <w:tcW w:w="3571"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项目资金使用是否符合相关的财务管理制度规定，用以反映和考核项目资金的规范运行情况。</w:t>
            </w:r>
          </w:p>
        </w:tc>
        <w:tc>
          <w:tcPr>
            <w:tcW w:w="908"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801"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690" w:type="dxa"/>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1357" w:type="dxa"/>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组织实施</w:t>
            </w:r>
          </w:p>
          <w:p>
            <w:pPr>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728"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管理制度</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健全性</w:t>
            </w:r>
          </w:p>
        </w:tc>
        <w:tc>
          <w:tcPr>
            <w:tcW w:w="3571"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项目实施单位的财务和业务管理制度是否健全，用以反映和考核财务和业务管理制度对项目顺利实施的保障情况。</w:t>
            </w:r>
          </w:p>
        </w:tc>
        <w:tc>
          <w:tcPr>
            <w:tcW w:w="908"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801"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90"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357"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728" w:type="dxa"/>
            <w:shd w:val="clear" w:color="auto" w:fill="FFFFFF"/>
            <w:vAlign w:val="center"/>
          </w:tcPr>
          <w:p>
            <w:pPr>
              <w:widowControl/>
              <w:spacing w:line="0" w:lineRule="atLeast"/>
              <w:jc w:val="center"/>
              <w:rPr>
                <w:rFonts w:hint="eastAsia" w:ascii="仿宋_GB2312" w:hAnsi="仿宋_GB2312" w:eastAsia="仿宋_GB2312" w:cs="仿宋_GB2312"/>
                <w:color w:val="auto"/>
                <w:kern w:val="0"/>
                <w:sz w:val="22"/>
                <w:highlight w:val="none"/>
              </w:rPr>
            </w:pPr>
            <w:r>
              <w:rPr>
                <w:rFonts w:hint="eastAsia" w:ascii="仿宋_GB2312" w:hAnsi="仿宋_GB2312" w:eastAsia="仿宋_GB2312" w:cs="仿宋_GB2312"/>
                <w:color w:val="auto"/>
                <w:kern w:val="0"/>
                <w:sz w:val="22"/>
                <w:highlight w:val="none"/>
              </w:rPr>
              <w:t>制度执行</w:t>
            </w:r>
          </w:p>
          <w:p>
            <w:pPr>
              <w:widowControl/>
              <w:spacing w:line="0" w:lineRule="atLeast"/>
              <w:jc w:val="center"/>
              <w:rPr>
                <w:rFonts w:hint="eastAsia" w:ascii="仿宋_GB2312" w:hAnsi="仿宋_GB2312" w:eastAsia="仿宋_GB2312" w:cs="仿宋_GB2312"/>
                <w:color w:val="auto"/>
                <w:kern w:val="0"/>
                <w:sz w:val="22"/>
                <w:highlight w:val="none"/>
              </w:rPr>
            </w:pPr>
            <w:r>
              <w:rPr>
                <w:rFonts w:hint="eastAsia" w:ascii="仿宋_GB2312" w:hAnsi="仿宋_GB2312" w:eastAsia="仿宋_GB2312" w:cs="仿宋_GB2312"/>
                <w:color w:val="auto"/>
                <w:kern w:val="0"/>
                <w:sz w:val="22"/>
                <w:highlight w:val="none"/>
              </w:rPr>
              <w:t>有效性</w:t>
            </w:r>
          </w:p>
        </w:tc>
        <w:tc>
          <w:tcPr>
            <w:tcW w:w="3571" w:type="dxa"/>
            <w:shd w:val="clear" w:color="000000" w:fill="FFFFFF"/>
            <w:vAlign w:val="center"/>
          </w:tcPr>
          <w:p>
            <w:pPr>
              <w:widowControl/>
              <w:spacing w:line="0" w:lineRule="atLeast"/>
              <w:jc w:val="center"/>
              <w:rPr>
                <w:rFonts w:hint="eastAsia" w:ascii="仿宋_GB2312" w:hAnsi="仿宋_GB2312" w:eastAsia="仿宋_GB2312" w:cs="仿宋_GB2312"/>
                <w:color w:val="auto"/>
                <w:kern w:val="0"/>
                <w:sz w:val="22"/>
                <w:highlight w:val="none"/>
              </w:rPr>
            </w:pPr>
            <w:r>
              <w:rPr>
                <w:rFonts w:hint="eastAsia" w:ascii="仿宋_GB2312" w:hAnsi="仿宋_GB2312" w:eastAsia="仿宋_GB2312" w:cs="仿宋_GB2312"/>
                <w:color w:val="auto"/>
                <w:kern w:val="0"/>
                <w:sz w:val="22"/>
                <w:highlight w:val="none"/>
              </w:rPr>
              <w:t>项目实施是否符合相关管理规定，用以反映和考核相关管理制度的有效执行情况。</w:t>
            </w:r>
          </w:p>
        </w:tc>
        <w:tc>
          <w:tcPr>
            <w:tcW w:w="908" w:type="dxa"/>
            <w:shd w:val="clear" w:color="000000" w:fill="FFFFFF"/>
          </w:tcPr>
          <w:p>
            <w:pPr>
              <w:spacing w:line="600" w:lineRule="auto"/>
              <w:jc w:val="center"/>
              <w:rPr>
                <w:rFonts w:hint="eastAsia" w:ascii="仿宋_GB2312" w:hAnsi="仿宋_GB2312" w:eastAsia="仿宋_GB2312" w:cs="仿宋_GB2312"/>
                <w:color w:val="auto"/>
                <w:highlight w:val="none"/>
                <w:lang w:val="en-US" w:eastAsia="zh-CN"/>
              </w:rPr>
            </w:pPr>
            <w:r>
              <w:rPr>
                <w:rFonts w:hint="eastAsia" w:ascii="仿宋_GB2312" w:hAnsi="仿宋_GB2312" w:cs="仿宋_GB2312"/>
                <w:color w:val="auto"/>
                <w:highlight w:val="none"/>
                <w:lang w:val="en-US" w:eastAsia="zh-CN"/>
              </w:rPr>
              <w:t>4</w:t>
            </w:r>
          </w:p>
        </w:tc>
        <w:tc>
          <w:tcPr>
            <w:tcW w:w="801" w:type="dxa"/>
            <w:shd w:val="clear" w:color="000000" w:fill="FFFFFF"/>
          </w:tcPr>
          <w:p>
            <w:pPr>
              <w:spacing w:line="600" w:lineRule="auto"/>
              <w:jc w:val="center"/>
              <w:rPr>
                <w:rFonts w:hint="eastAsia" w:ascii="仿宋_GB2312" w:hAnsi="仿宋_GB2312" w:eastAsia="仿宋_GB2312" w:cs="仿宋_GB2312"/>
                <w:color w:val="auto"/>
                <w:highlight w:val="none"/>
                <w:lang w:val="en-US" w:eastAsia="zh-CN"/>
              </w:rPr>
            </w:pPr>
            <w:r>
              <w:rPr>
                <w:rFonts w:hint="eastAsia" w:ascii="仿宋_GB2312" w:hAnsi="仿宋_GB2312" w:cs="仿宋_GB2312"/>
                <w:color w:val="auto"/>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690" w:type="dxa"/>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w:t>
            </w:r>
          </w:p>
        </w:tc>
        <w:tc>
          <w:tcPr>
            <w:tcW w:w="1357"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产出数量</w:t>
            </w:r>
          </w:p>
        </w:tc>
        <w:tc>
          <w:tcPr>
            <w:tcW w:w="1728"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实际完成率</w:t>
            </w:r>
          </w:p>
        </w:tc>
        <w:tc>
          <w:tcPr>
            <w:tcW w:w="3571"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项目实施的实际产出数与计划产出数的比率，用以反映和考核项目产出数量目标的实现程度。</w:t>
            </w:r>
          </w:p>
        </w:tc>
        <w:tc>
          <w:tcPr>
            <w:tcW w:w="908" w:type="dxa"/>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12</w:t>
            </w:r>
          </w:p>
        </w:tc>
        <w:tc>
          <w:tcPr>
            <w:tcW w:w="801"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90"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357"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产出质量</w:t>
            </w:r>
          </w:p>
        </w:tc>
        <w:tc>
          <w:tcPr>
            <w:tcW w:w="1728"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质量达标率</w:t>
            </w:r>
          </w:p>
        </w:tc>
        <w:tc>
          <w:tcPr>
            <w:tcW w:w="3571"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项目完成的质量达标产出数与实际产出数的比率，用以反映和考核项目产出质量目标的实现程度。</w:t>
            </w:r>
          </w:p>
        </w:tc>
        <w:tc>
          <w:tcPr>
            <w:tcW w:w="908"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801"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90" w:type="dxa"/>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1357" w:type="dxa"/>
            <w:shd w:val="clear" w:color="auto" w:fill="FFFFFF"/>
            <w:vAlign w:val="center"/>
          </w:tcPr>
          <w:p>
            <w:pPr>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产出时效</w:t>
            </w:r>
          </w:p>
        </w:tc>
        <w:tc>
          <w:tcPr>
            <w:tcW w:w="1728"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完成及时性</w:t>
            </w:r>
          </w:p>
        </w:tc>
        <w:tc>
          <w:tcPr>
            <w:tcW w:w="3571"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项目实际完成时间与计划完成时间的比较，用以反映和考核项目产出时效目标的实现程度。</w:t>
            </w:r>
          </w:p>
        </w:tc>
        <w:tc>
          <w:tcPr>
            <w:tcW w:w="908"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12</w:t>
            </w:r>
          </w:p>
        </w:tc>
        <w:tc>
          <w:tcPr>
            <w:tcW w:w="801" w:type="dxa"/>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90"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357"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产出成本</w:t>
            </w:r>
          </w:p>
        </w:tc>
        <w:tc>
          <w:tcPr>
            <w:tcW w:w="1728"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成本节约率</w:t>
            </w:r>
          </w:p>
        </w:tc>
        <w:tc>
          <w:tcPr>
            <w:tcW w:w="3571"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完成项目计划工作目标的实际节约成本与计划成本的比率，用以反映和考核项目的成本节约程度。</w:t>
            </w:r>
          </w:p>
        </w:tc>
        <w:tc>
          <w:tcPr>
            <w:tcW w:w="908"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12</w:t>
            </w:r>
          </w:p>
        </w:tc>
        <w:tc>
          <w:tcPr>
            <w:tcW w:w="801" w:type="dxa"/>
            <w:shd w:val="clear" w:color="auto"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690" w:type="dxa"/>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效益　</w:t>
            </w:r>
          </w:p>
        </w:tc>
        <w:tc>
          <w:tcPr>
            <w:tcW w:w="1357" w:type="dxa"/>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项目效益　</w:t>
            </w:r>
          </w:p>
        </w:tc>
        <w:tc>
          <w:tcPr>
            <w:tcW w:w="1728"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实施效益</w:t>
            </w:r>
          </w:p>
        </w:tc>
        <w:tc>
          <w:tcPr>
            <w:tcW w:w="3571"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项目实施所产生的效益。</w:t>
            </w:r>
          </w:p>
        </w:tc>
        <w:tc>
          <w:tcPr>
            <w:tcW w:w="908" w:type="dxa"/>
            <w:shd w:val="clear" w:color="auto"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c>
          <w:tcPr>
            <w:tcW w:w="801" w:type="dxa"/>
            <w:shd w:val="clear" w:color="auto"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90"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357"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728"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满意度</w:t>
            </w:r>
          </w:p>
        </w:tc>
        <w:tc>
          <w:tcPr>
            <w:tcW w:w="3571"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社会公众或服务对象对项目实施效果的满意程度。</w:t>
            </w:r>
          </w:p>
        </w:tc>
        <w:tc>
          <w:tcPr>
            <w:tcW w:w="908" w:type="dxa"/>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c>
          <w:tcPr>
            <w:tcW w:w="801" w:type="dxa"/>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3775" w:type="dxa"/>
            <w:gridSpan w:val="3"/>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b/>
                <w:bCs/>
                <w:color w:val="000000"/>
                <w:kern w:val="0"/>
                <w:sz w:val="22"/>
              </w:rPr>
              <w:t>总分</w:t>
            </w:r>
          </w:p>
        </w:tc>
        <w:tc>
          <w:tcPr>
            <w:tcW w:w="3571" w:type="dxa"/>
            <w:shd w:val="clear" w:color="auto" w:fill="FFFFFF"/>
          </w:tcPr>
          <w:p>
            <w:pPr>
              <w:widowControl/>
              <w:spacing w:line="0" w:lineRule="atLeast"/>
              <w:jc w:val="center"/>
              <w:rPr>
                <w:rFonts w:hint="eastAsia" w:ascii="仿宋_GB2312" w:hAnsi="仿宋_GB2312" w:eastAsia="仿宋_GB2312" w:cs="仿宋_GB2312"/>
                <w:color w:val="000000"/>
                <w:kern w:val="0"/>
                <w:sz w:val="22"/>
              </w:rPr>
            </w:pPr>
          </w:p>
        </w:tc>
        <w:tc>
          <w:tcPr>
            <w:tcW w:w="908" w:type="dxa"/>
            <w:shd w:val="clear" w:color="auto" w:fill="FFFFFF"/>
            <w:vAlign w:val="center"/>
          </w:tcPr>
          <w:p>
            <w:pPr>
              <w:widowControl/>
              <w:spacing w:line="0" w:lineRule="atLeast"/>
              <w:jc w:val="center"/>
              <w:rPr>
                <w:rFonts w:hint="default" w:ascii="仿宋_GB2312" w:hAnsi="仿宋_GB2312" w:eastAsia="仿宋_GB2312" w:cs="仿宋_GB2312"/>
                <w:color w:val="000000"/>
                <w:kern w:val="0"/>
                <w:sz w:val="22"/>
                <w:lang w:val="en-US" w:eastAsia="zh-CN"/>
              </w:rPr>
            </w:pPr>
            <w:r>
              <w:rPr>
                <w:rFonts w:hint="eastAsia" w:ascii="仿宋_GB2312" w:hAnsi="仿宋_GB2312" w:cs="仿宋_GB2312"/>
                <w:color w:val="000000"/>
                <w:kern w:val="0"/>
                <w:sz w:val="22"/>
                <w:lang w:val="en-US" w:eastAsia="zh-CN"/>
              </w:rPr>
              <w:t>100</w:t>
            </w:r>
          </w:p>
        </w:tc>
        <w:tc>
          <w:tcPr>
            <w:tcW w:w="801" w:type="dxa"/>
            <w:shd w:val="clear" w:color="auto" w:fill="FFFFFF"/>
            <w:vAlign w:val="center"/>
          </w:tcPr>
          <w:p>
            <w:pPr>
              <w:widowControl/>
              <w:spacing w:line="0" w:lineRule="atLeast"/>
              <w:jc w:val="center"/>
              <w:rPr>
                <w:rFonts w:hint="default" w:ascii="仿宋_GB2312" w:hAnsi="仿宋_GB2312" w:eastAsia="仿宋_GB2312" w:cs="仿宋_GB2312"/>
                <w:color w:val="000000"/>
                <w:kern w:val="0"/>
                <w:sz w:val="22"/>
                <w:lang w:val="en-US" w:eastAsia="zh-CN"/>
              </w:rPr>
            </w:pPr>
            <w:r>
              <w:rPr>
                <w:rFonts w:hint="eastAsia" w:ascii="仿宋_GB2312" w:hAnsi="仿宋_GB2312" w:cs="仿宋_GB2312"/>
                <w:color w:val="000000"/>
                <w:kern w:val="0"/>
                <w:sz w:val="22"/>
                <w:lang w:val="en-US" w:eastAsia="zh-CN"/>
              </w:rPr>
              <w:t>96</w:t>
            </w:r>
          </w:p>
        </w:tc>
      </w:tr>
    </w:tbl>
    <w:p>
      <w:pPr>
        <w:rPr>
          <w:rFonts w:hint="eastAsia" w:eastAsia="仿宋_GB2312"/>
          <w:sz w:val="32"/>
          <w:szCs w:val="32"/>
          <w:lang w:eastAsia="zh-CN"/>
        </w:rPr>
      </w:pPr>
      <w:r>
        <w:rPr>
          <w:rFonts w:hint="eastAsia"/>
          <w:sz w:val="32"/>
          <w:szCs w:val="32"/>
        </w:rPr>
        <w:br w:type="page"/>
      </w:r>
    </w:p>
    <w:p>
      <w:pPr>
        <w:spacing w:line="600" w:lineRule="exact"/>
        <w:ind w:firstLine="640" w:firstLineChars="200"/>
        <w:rPr>
          <w:rFonts w:hint="eastAsia"/>
          <w:sz w:val="32"/>
          <w:szCs w:val="32"/>
        </w:rPr>
      </w:pPr>
      <w:r>
        <w:rPr>
          <w:rFonts w:hint="eastAsia"/>
          <w:sz w:val="32"/>
          <w:szCs w:val="32"/>
        </w:rPr>
        <w:t>3.评价方法</w:t>
      </w:r>
    </w:p>
    <w:p>
      <w:pPr>
        <w:spacing w:line="600" w:lineRule="exact"/>
        <w:ind w:firstLine="640" w:firstLineChars="200"/>
        <w:rPr>
          <w:rFonts w:hint="eastAsia" w:eastAsia="仿宋_GB2312"/>
          <w:color w:val="auto"/>
          <w:sz w:val="32"/>
          <w:szCs w:val="32"/>
          <w:lang w:eastAsia="zh-CN"/>
        </w:rPr>
      </w:pPr>
      <w:r>
        <w:rPr>
          <w:rFonts w:hint="eastAsia"/>
          <w:color w:val="auto"/>
          <w:sz w:val="32"/>
          <w:szCs w:val="32"/>
        </w:rPr>
        <w:t>本次项目支出绩效自评采用成本效益分析法方法，原因是</w:t>
      </w:r>
      <w:r>
        <w:rPr>
          <w:rFonts w:hint="eastAsia"/>
          <w:color w:val="auto"/>
          <w:sz w:val="32"/>
          <w:szCs w:val="32"/>
          <w:lang w:val="en-US" w:eastAsia="zh-CN"/>
        </w:rPr>
        <w:t>项目的预算资金及成本指标等指标已经明确设置，现</w:t>
      </w:r>
      <w:r>
        <w:rPr>
          <w:rFonts w:hint="eastAsia"/>
          <w:color w:val="auto"/>
          <w:sz w:val="32"/>
          <w:szCs w:val="32"/>
        </w:rPr>
        <w:t>将投入与产出、效益进行关联性分析</w:t>
      </w:r>
      <w:r>
        <w:rPr>
          <w:rFonts w:hint="eastAsia"/>
          <w:color w:val="auto"/>
          <w:sz w:val="32"/>
          <w:szCs w:val="32"/>
          <w:lang w:eastAsia="zh-CN"/>
        </w:rPr>
        <w:t>。</w:t>
      </w:r>
    </w:p>
    <w:p>
      <w:pPr>
        <w:spacing w:line="600" w:lineRule="exact"/>
        <w:ind w:firstLine="640" w:firstLineChars="200"/>
        <w:rPr>
          <w:rFonts w:hint="eastAsia"/>
          <w:sz w:val="32"/>
          <w:szCs w:val="32"/>
        </w:rPr>
      </w:pPr>
      <w:r>
        <w:rPr>
          <w:rFonts w:hint="eastAsia"/>
          <w:sz w:val="32"/>
          <w:szCs w:val="32"/>
        </w:rPr>
        <w:t>4.评价标准</w:t>
      </w:r>
    </w:p>
    <w:p>
      <w:pPr>
        <w:spacing w:line="600" w:lineRule="exact"/>
        <w:ind w:firstLine="640" w:firstLineChars="200"/>
        <w:rPr>
          <w:rFonts w:hint="eastAsia"/>
          <w:color w:val="auto"/>
          <w:sz w:val="32"/>
          <w:szCs w:val="32"/>
          <w:highlight w:val="yellow"/>
        </w:rPr>
      </w:pPr>
      <w:r>
        <w:rPr>
          <w:rFonts w:hint="eastAsia"/>
          <w:color w:val="auto"/>
          <w:sz w:val="32"/>
          <w:szCs w:val="32"/>
        </w:rPr>
        <w:t>本次项目支出绩效自评采用计划标准，</w:t>
      </w:r>
      <w:r>
        <w:rPr>
          <w:rFonts w:hint="eastAsia"/>
          <w:color w:val="auto"/>
          <w:sz w:val="32"/>
          <w:szCs w:val="32"/>
          <w:highlight w:val="none"/>
        </w:rPr>
        <w:t>原因是：协调过程：</w:t>
      </w:r>
      <w:r>
        <w:rPr>
          <w:rFonts w:hint="eastAsia"/>
          <w:color w:val="auto"/>
          <w:sz w:val="32"/>
          <w:szCs w:val="32"/>
          <w:highlight w:val="none"/>
          <w:lang w:val="en-US" w:eastAsia="zh-CN"/>
        </w:rPr>
        <w:t>让</w:t>
      </w:r>
      <w:r>
        <w:rPr>
          <w:rFonts w:hint="eastAsia"/>
          <w:color w:val="auto"/>
          <w:sz w:val="32"/>
          <w:szCs w:val="32"/>
          <w:highlight w:val="none"/>
        </w:rPr>
        <w:t>所有相关人员都了解</w:t>
      </w:r>
      <w:r>
        <w:rPr>
          <w:rFonts w:hint="eastAsia"/>
          <w:color w:val="auto"/>
          <w:sz w:val="32"/>
          <w:szCs w:val="32"/>
          <w:highlight w:val="none"/>
          <w:lang w:val="en-US" w:eastAsia="zh-CN"/>
        </w:rPr>
        <w:t>项目</w:t>
      </w:r>
      <w:r>
        <w:rPr>
          <w:rFonts w:hint="eastAsia"/>
          <w:color w:val="auto"/>
          <w:sz w:val="32"/>
          <w:szCs w:val="32"/>
          <w:highlight w:val="none"/>
        </w:rPr>
        <w:t>目标</w:t>
      </w:r>
      <w:r>
        <w:rPr>
          <w:rFonts w:hint="eastAsia"/>
          <w:color w:val="auto"/>
          <w:sz w:val="32"/>
          <w:szCs w:val="32"/>
          <w:highlight w:val="none"/>
          <w:lang w:eastAsia="zh-CN"/>
        </w:rPr>
        <w:t>，</w:t>
      </w:r>
      <w:r>
        <w:rPr>
          <w:rFonts w:hint="eastAsia"/>
          <w:color w:val="auto"/>
          <w:sz w:val="32"/>
          <w:szCs w:val="32"/>
          <w:highlight w:val="none"/>
          <w:lang w:val="en-US" w:eastAsia="zh-CN"/>
        </w:rPr>
        <w:t>为了</w:t>
      </w:r>
      <w:r>
        <w:rPr>
          <w:rFonts w:hint="eastAsia"/>
          <w:color w:val="auto"/>
          <w:sz w:val="32"/>
          <w:szCs w:val="32"/>
          <w:highlight w:val="none"/>
        </w:rPr>
        <w:t>能够协调活动，</w:t>
      </w:r>
      <w:r>
        <w:rPr>
          <w:rFonts w:hint="eastAsia"/>
          <w:color w:val="auto"/>
          <w:sz w:val="32"/>
          <w:szCs w:val="32"/>
          <w:highlight w:val="none"/>
          <w:lang w:val="en-US" w:eastAsia="zh-CN"/>
        </w:rPr>
        <w:t>团结一致，分工协作</w:t>
      </w:r>
      <w:r>
        <w:rPr>
          <w:rFonts w:hint="eastAsia"/>
          <w:color w:val="auto"/>
          <w:sz w:val="32"/>
          <w:szCs w:val="32"/>
          <w:highlight w:val="none"/>
        </w:rPr>
        <w:t>，并减少重叠和浪费性的活动。计划</w:t>
      </w:r>
      <w:r>
        <w:rPr>
          <w:rFonts w:hint="eastAsia"/>
          <w:color w:val="auto"/>
          <w:sz w:val="32"/>
          <w:szCs w:val="32"/>
          <w:highlight w:val="none"/>
          <w:lang w:val="en-US" w:eastAsia="zh-CN"/>
        </w:rPr>
        <w:t>可以提前了解全过程</w:t>
      </w:r>
      <w:r>
        <w:rPr>
          <w:rFonts w:hint="eastAsia"/>
          <w:color w:val="auto"/>
          <w:sz w:val="32"/>
          <w:szCs w:val="32"/>
          <w:highlight w:val="none"/>
        </w:rPr>
        <w:t>，并制定适当的对策。这有助于</w:t>
      </w:r>
      <w:r>
        <w:rPr>
          <w:rFonts w:hint="eastAsia"/>
          <w:color w:val="auto"/>
          <w:sz w:val="32"/>
          <w:szCs w:val="32"/>
          <w:highlight w:val="none"/>
          <w:lang w:val="en-US" w:eastAsia="zh-CN"/>
        </w:rPr>
        <w:t>更好完成工作</w:t>
      </w:r>
      <w:r>
        <w:rPr>
          <w:rFonts w:hint="eastAsia"/>
          <w:color w:val="auto"/>
          <w:sz w:val="32"/>
          <w:szCs w:val="32"/>
          <w:highlight w:val="none"/>
        </w:rPr>
        <w:t>。通过在计划中设立目标，并在控制过程中将实际结果与计划目标进行比较，可以分析是否存在偏差以及偏差的原因，并采取必要的纠偏措施。</w:t>
      </w:r>
    </w:p>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（三）绩效评价工作过程。</w:t>
      </w:r>
    </w:p>
    <w:p>
      <w:pPr>
        <w:spacing w:line="600" w:lineRule="exact"/>
        <w:ind w:firstLine="640" w:firstLineChars="200"/>
        <w:rPr>
          <w:rFonts w:hint="eastAsia"/>
          <w:sz w:val="32"/>
          <w:szCs w:val="32"/>
        </w:rPr>
      </w:pPr>
      <w:r>
        <w:rPr>
          <w:rFonts w:hint="eastAsia"/>
          <w:sz w:val="32"/>
          <w:szCs w:val="32"/>
        </w:rPr>
        <w:t>1.前期准备：</w:t>
      </w:r>
    </w:p>
    <w:p>
      <w:pPr>
        <w:spacing w:line="600" w:lineRule="exact"/>
        <w:ind w:firstLine="640" w:firstLineChars="200"/>
        <w:rPr>
          <w:rFonts w:hint="eastAsia"/>
          <w:sz w:val="32"/>
          <w:szCs w:val="32"/>
        </w:rPr>
      </w:pPr>
      <w:r>
        <w:rPr>
          <w:rFonts w:hint="eastAsia"/>
          <w:sz w:val="32"/>
          <w:szCs w:val="32"/>
          <w:highlight w:val="none"/>
        </w:rPr>
        <w:t>202</w:t>
      </w:r>
      <w:r>
        <w:rPr>
          <w:rFonts w:hint="eastAsia"/>
          <w:sz w:val="32"/>
          <w:szCs w:val="32"/>
          <w:highlight w:val="none"/>
          <w:lang w:val="en-US" w:eastAsia="zh-CN"/>
        </w:rPr>
        <w:t>4</w:t>
      </w:r>
      <w:r>
        <w:rPr>
          <w:rFonts w:hint="eastAsia"/>
          <w:sz w:val="32"/>
          <w:szCs w:val="32"/>
          <w:highlight w:val="none"/>
        </w:rPr>
        <w:t>年</w:t>
      </w:r>
      <w:r>
        <w:rPr>
          <w:rFonts w:hint="eastAsia"/>
          <w:sz w:val="32"/>
          <w:szCs w:val="32"/>
          <w:highlight w:val="none"/>
          <w:lang w:val="en-US" w:eastAsia="zh-CN"/>
        </w:rPr>
        <w:t>1</w:t>
      </w:r>
      <w:r>
        <w:rPr>
          <w:rFonts w:hint="eastAsia"/>
          <w:sz w:val="32"/>
          <w:szCs w:val="32"/>
          <w:highlight w:val="none"/>
        </w:rPr>
        <w:t>月</w:t>
      </w:r>
      <w:r>
        <w:rPr>
          <w:rFonts w:hint="eastAsia"/>
          <w:sz w:val="32"/>
          <w:szCs w:val="32"/>
          <w:highlight w:val="none"/>
          <w:lang w:val="en-US" w:eastAsia="zh-CN"/>
        </w:rPr>
        <w:t>2</w:t>
      </w:r>
      <w:r>
        <w:rPr>
          <w:rFonts w:hint="eastAsia"/>
          <w:sz w:val="32"/>
          <w:szCs w:val="32"/>
          <w:highlight w:val="none"/>
        </w:rPr>
        <w:t>日，</w:t>
      </w:r>
      <w:r>
        <w:rPr>
          <w:rFonts w:hint="eastAsia"/>
          <w:sz w:val="32"/>
          <w:szCs w:val="32"/>
        </w:rPr>
        <w:t>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r>
    </w:p>
    <w:p>
      <w:pPr>
        <w:spacing w:line="600" w:lineRule="exact"/>
        <w:ind w:firstLine="640" w:firstLineChars="200"/>
        <w:rPr>
          <w:rFonts w:hint="eastAsia"/>
          <w:sz w:val="32"/>
          <w:szCs w:val="32"/>
        </w:rPr>
      </w:pPr>
      <w:r>
        <w:rPr>
          <w:rFonts w:hint="eastAsia"/>
          <w:sz w:val="32"/>
          <w:szCs w:val="32"/>
        </w:rPr>
        <w:t>2.组织实施：</w:t>
      </w:r>
    </w:p>
    <w:p>
      <w:pPr>
        <w:spacing w:line="600" w:lineRule="exact"/>
        <w:ind w:firstLine="640" w:firstLineChars="200"/>
        <w:rPr>
          <w:rFonts w:hint="eastAsia"/>
          <w:sz w:val="32"/>
          <w:szCs w:val="32"/>
          <w:highlight w:val="none"/>
        </w:rPr>
      </w:pPr>
      <w:r>
        <w:rPr>
          <w:rFonts w:hint="eastAsia"/>
          <w:sz w:val="32"/>
          <w:szCs w:val="32"/>
          <w:highlight w:val="none"/>
        </w:rPr>
        <w:t>202</w:t>
      </w:r>
      <w:r>
        <w:rPr>
          <w:rFonts w:hint="eastAsia"/>
          <w:sz w:val="32"/>
          <w:szCs w:val="32"/>
          <w:highlight w:val="none"/>
          <w:lang w:val="en-US" w:eastAsia="zh-CN"/>
        </w:rPr>
        <w:t>4</w:t>
      </w:r>
      <w:r>
        <w:rPr>
          <w:rFonts w:hint="eastAsia"/>
          <w:sz w:val="32"/>
          <w:szCs w:val="32"/>
          <w:highlight w:val="none"/>
        </w:rPr>
        <w:t>年</w:t>
      </w:r>
      <w:r>
        <w:rPr>
          <w:rFonts w:hint="eastAsia"/>
          <w:sz w:val="32"/>
          <w:szCs w:val="32"/>
          <w:highlight w:val="none"/>
          <w:lang w:val="en-US" w:eastAsia="zh-CN"/>
        </w:rPr>
        <w:t>1</w:t>
      </w:r>
      <w:r>
        <w:rPr>
          <w:rFonts w:hint="eastAsia"/>
          <w:sz w:val="32"/>
          <w:szCs w:val="32"/>
          <w:highlight w:val="none"/>
        </w:rPr>
        <w:t>月</w:t>
      </w:r>
      <w:r>
        <w:rPr>
          <w:rFonts w:hint="eastAsia"/>
          <w:sz w:val="32"/>
          <w:szCs w:val="32"/>
          <w:highlight w:val="none"/>
          <w:lang w:val="en-US" w:eastAsia="zh-CN"/>
        </w:rPr>
        <w:t>12</w:t>
      </w:r>
      <w:r>
        <w:rPr>
          <w:rFonts w:hint="eastAsia"/>
          <w:sz w:val="32"/>
          <w:szCs w:val="32"/>
          <w:highlight w:val="none"/>
        </w:rPr>
        <w:t>日，评价工作进入实施阶段，评价组收集绩效评价相关数据资料，进行现场调研、座谈；并与项目实施负责人沟通，了解资金的内容、操作流程、管理机制、资金使用方向等情况，分析形成初步结论。</w:t>
      </w:r>
    </w:p>
    <w:p>
      <w:pPr>
        <w:spacing w:line="600" w:lineRule="exact"/>
        <w:ind w:firstLine="640" w:firstLineChars="200"/>
        <w:rPr>
          <w:rFonts w:hint="eastAsia"/>
          <w:sz w:val="32"/>
          <w:szCs w:val="32"/>
          <w:highlight w:val="none"/>
        </w:rPr>
      </w:pPr>
      <w:r>
        <w:rPr>
          <w:rFonts w:hint="eastAsia"/>
          <w:sz w:val="32"/>
          <w:szCs w:val="32"/>
          <w:highlight w:val="none"/>
        </w:rPr>
        <w:t>3.分析评价：</w:t>
      </w:r>
    </w:p>
    <w:p>
      <w:pPr>
        <w:spacing w:line="600" w:lineRule="exact"/>
        <w:ind w:firstLine="640" w:firstLineChars="200"/>
        <w:rPr>
          <w:rFonts w:hint="eastAsia"/>
          <w:sz w:val="32"/>
          <w:szCs w:val="32"/>
        </w:rPr>
      </w:pPr>
      <w:r>
        <w:rPr>
          <w:rFonts w:hint="eastAsia"/>
          <w:sz w:val="32"/>
          <w:szCs w:val="32"/>
          <w:highlight w:val="none"/>
        </w:rPr>
        <w:t>202</w:t>
      </w:r>
      <w:r>
        <w:rPr>
          <w:rFonts w:hint="eastAsia"/>
          <w:sz w:val="32"/>
          <w:szCs w:val="32"/>
          <w:highlight w:val="none"/>
          <w:lang w:val="en-US" w:eastAsia="zh-CN"/>
        </w:rPr>
        <w:t>4</w:t>
      </w:r>
      <w:r>
        <w:rPr>
          <w:rFonts w:hint="eastAsia"/>
          <w:sz w:val="32"/>
          <w:szCs w:val="32"/>
          <w:highlight w:val="none"/>
        </w:rPr>
        <w:t>年</w:t>
      </w:r>
      <w:r>
        <w:rPr>
          <w:rFonts w:hint="eastAsia"/>
          <w:sz w:val="32"/>
          <w:szCs w:val="32"/>
          <w:highlight w:val="none"/>
          <w:lang w:val="en-US" w:eastAsia="zh-CN"/>
        </w:rPr>
        <w:t>2</w:t>
      </w:r>
      <w:r>
        <w:rPr>
          <w:rFonts w:hint="eastAsia"/>
          <w:sz w:val="32"/>
          <w:szCs w:val="32"/>
          <w:highlight w:val="none"/>
        </w:rPr>
        <w:t>月</w:t>
      </w:r>
      <w:r>
        <w:rPr>
          <w:rFonts w:hint="eastAsia"/>
          <w:sz w:val="32"/>
          <w:szCs w:val="32"/>
          <w:highlight w:val="none"/>
          <w:lang w:val="en-US" w:eastAsia="zh-CN"/>
        </w:rPr>
        <w:t>5</w:t>
      </w:r>
      <w:r>
        <w:rPr>
          <w:rFonts w:hint="eastAsia"/>
          <w:sz w:val="32"/>
          <w:szCs w:val="32"/>
          <w:highlight w:val="none"/>
        </w:rPr>
        <w:t>日-</w:t>
      </w:r>
      <w:r>
        <w:rPr>
          <w:rFonts w:hint="eastAsia"/>
          <w:sz w:val="32"/>
          <w:szCs w:val="32"/>
          <w:highlight w:val="none"/>
          <w:lang w:val="en-US" w:eastAsia="zh-CN"/>
        </w:rPr>
        <w:t>3</w:t>
      </w:r>
      <w:r>
        <w:rPr>
          <w:rFonts w:hint="eastAsia"/>
          <w:sz w:val="32"/>
          <w:szCs w:val="32"/>
          <w:highlight w:val="none"/>
        </w:rPr>
        <w:t>月</w:t>
      </w:r>
      <w:r>
        <w:rPr>
          <w:rFonts w:hint="eastAsia"/>
          <w:sz w:val="32"/>
          <w:szCs w:val="32"/>
          <w:highlight w:val="none"/>
          <w:lang w:val="en-US" w:eastAsia="zh-CN"/>
        </w:rPr>
        <w:t>15</w:t>
      </w:r>
      <w:r>
        <w:rPr>
          <w:rFonts w:hint="eastAsia"/>
          <w:sz w:val="32"/>
          <w:szCs w:val="32"/>
          <w:highlight w:val="none"/>
        </w:rPr>
        <w:t>日，评价组按照绩效</w:t>
      </w:r>
      <w:r>
        <w:rPr>
          <w:rFonts w:hint="eastAsia"/>
          <w:sz w:val="32"/>
          <w:szCs w:val="32"/>
        </w:rPr>
        <w:t>评价的原则和规范，对取得的资料进行审查核实，对采集的数据进行分析，按照绩效评价指标评分表逐项进行打分、分析，汇总各方评价结果，综合分析并形成评价结论。</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三、综合评价情况及评价结论</w:t>
      </w:r>
    </w:p>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（一）综合评价情况</w:t>
      </w:r>
    </w:p>
    <w:p>
      <w:pPr>
        <w:spacing w:line="600" w:lineRule="exact"/>
        <w:ind w:firstLine="640" w:firstLineChars="200"/>
        <w:rPr>
          <w:rFonts w:hint="eastAsia"/>
          <w:sz w:val="32"/>
          <w:szCs w:val="32"/>
        </w:rPr>
      </w:pPr>
      <w:r>
        <w:rPr>
          <w:rFonts w:hint="eastAsia"/>
          <w:sz w:val="32"/>
          <w:szCs w:val="32"/>
        </w:rPr>
        <w:t>本项目严格按照科学公正、统筹兼顾、激励约束、公开透明的绩效评价原则</w:t>
      </w:r>
      <w:r>
        <w:rPr>
          <w:rFonts w:hint="eastAsia"/>
          <w:color w:val="auto"/>
          <w:sz w:val="32"/>
          <w:szCs w:val="32"/>
        </w:rPr>
        <w:t>，采用成本效益分析法，坚持计划标准对本项目的立项、绩效目标、资金投入、资金管理、组织实施、产出数</w:t>
      </w:r>
      <w:r>
        <w:rPr>
          <w:rFonts w:hint="eastAsia"/>
          <w:sz w:val="32"/>
          <w:szCs w:val="32"/>
        </w:rPr>
        <w:t>量、产出质量、产出时效、产出成本、项目效益进行了综合评价。</w:t>
      </w:r>
    </w:p>
    <w:p>
      <w:pPr>
        <w:spacing w:line="600" w:lineRule="exact"/>
        <w:ind w:firstLine="640" w:firstLineChars="200"/>
        <w:jc w:val="center"/>
        <w:rPr>
          <w:rFonts w:hint="eastAsia"/>
          <w:sz w:val="32"/>
          <w:szCs w:val="32"/>
        </w:rPr>
      </w:pPr>
      <w:r>
        <w:rPr>
          <w:rFonts w:hint="eastAsia"/>
          <w:sz w:val="32"/>
          <w:szCs w:val="32"/>
        </w:rPr>
        <w:t>2023年博湖县本布图镇再格森诺尔村美丽乡村建设试点项目项目评价得分情况</w:t>
      </w:r>
    </w:p>
    <w:tbl>
      <w:tblPr>
        <w:tblStyle w:val="8"/>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8"/>
        <w:gridCol w:w="2590"/>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blHeader/>
          <w:jc w:val="center"/>
        </w:trPr>
        <w:tc>
          <w:tcPr>
            <w:tcW w:w="3748" w:type="dxa"/>
            <w:shd w:val="clear" w:color="000000" w:fill="BEBEBE" w:themeFill="background1" w:themeFillShade="BF"/>
            <w:vAlign w:val="center"/>
          </w:tcPr>
          <w:p>
            <w:pPr>
              <w:jc w:val="center"/>
              <w:rPr>
                <w:b/>
                <w:bCs/>
                <w:color w:val="000000"/>
                <w:sz w:val="22"/>
              </w:rPr>
            </w:pPr>
            <w:r>
              <w:rPr>
                <w:rFonts w:hint="eastAsia"/>
                <w:b/>
                <w:bCs/>
                <w:color w:val="000000"/>
                <w:sz w:val="22"/>
              </w:rPr>
              <w:t>一级指标</w:t>
            </w:r>
          </w:p>
        </w:tc>
        <w:tc>
          <w:tcPr>
            <w:tcW w:w="2590" w:type="dxa"/>
            <w:shd w:val="clear" w:color="000000" w:fill="BEBEBE" w:themeFill="background1" w:themeFillShade="BF"/>
            <w:vAlign w:val="center"/>
          </w:tcPr>
          <w:p>
            <w:pPr>
              <w:jc w:val="center"/>
              <w:rPr>
                <w:b/>
                <w:bCs/>
                <w:color w:val="000000"/>
                <w:sz w:val="22"/>
              </w:rPr>
            </w:pPr>
            <w:r>
              <w:rPr>
                <w:rFonts w:hint="eastAsia"/>
                <w:b/>
                <w:bCs/>
                <w:color w:val="000000"/>
                <w:sz w:val="22"/>
              </w:rPr>
              <w:t>权重分</w:t>
            </w:r>
          </w:p>
        </w:tc>
        <w:tc>
          <w:tcPr>
            <w:tcW w:w="2720" w:type="dxa"/>
            <w:shd w:val="clear" w:color="000000" w:fill="BEBEBE" w:themeFill="background1" w:themeFillShade="BF"/>
            <w:vAlign w:val="center"/>
          </w:tcPr>
          <w:p>
            <w:pPr>
              <w:jc w:val="center"/>
              <w:rPr>
                <w:b/>
                <w:bCs/>
                <w:color w:val="000000"/>
                <w:sz w:val="22"/>
              </w:rPr>
            </w:pPr>
            <w:r>
              <w:rPr>
                <w:rFonts w:hint="eastAsia"/>
                <w:b/>
                <w:bCs/>
                <w:color w:val="000000"/>
                <w:sz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48" w:type="dxa"/>
            <w:shd w:val="clear" w:color="auto" w:fill="auto"/>
            <w:vAlign w:val="center"/>
          </w:tcPr>
          <w:p>
            <w:pPr>
              <w:jc w:val="center"/>
              <w:rPr>
                <w:color w:val="000000"/>
                <w:sz w:val="22"/>
                <w:highlight w:val="none"/>
              </w:rPr>
            </w:pPr>
            <w:r>
              <w:rPr>
                <w:rFonts w:hint="eastAsia"/>
                <w:color w:val="000000"/>
                <w:sz w:val="22"/>
                <w:highlight w:val="none"/>
              </w:rPr>
              <w:t>项目决策</w:t>
            </w:r>
          </w:p>
        </w:tc>
        <w:tc>
          <w:tcPr>
            <w:tcW w:w="2590" w:type="dxa"/>
            <w:shd w:val="clear" w:color="auto" w:fill="auto"/>
            <w:vAlign w:val="center"/>
          </w:tcPr>
          <w:p>
            <w:pPr>
              <w:jc w:val="center"/>
              <w:rPr>
                <w:rFonts w:hint="default" w:eastAsia="仿宋_GB2312"/>
                <w:color w:val="000000"/>
                <w:sz w:val="22"/>
                <w:highlight w:val="none"/>
                <w:lang w:val="en-US" w:eastAsia="zh-CN"/>
              </w:rPr>
            </w:pPr>
            <w:r>
              <w:rPr>
                <w:rFonts w:hint="eastAsia"/>
                <w:color w:val="000000"/>
                <w:sz w:val="22"/>
                <w:highlight w:val="none"/>
                <w:lang w:val="en-US" w:eastAsia="zh-CN"/>
              </w:rPr>
              <w:t>20</w:t>
            </w:r>
          </w:p>
        </w:tc>
        <w:tc>
          <w:tcPr>
            <w:tcW w:w="2720" w:type="dxa"/>
            <w:shd w:val="clear" w:color="auto" w:fill="auto"/>
            <w:vAlign w:val="center"/>
          </w:tcPr>
          <w:p>
            <w:pPr>
              <w:jc w:val="center"/>
              <w:rPr>
                <w:rFonts w:hint="default" w:eastAsia="仿宋_GB2312"/>
                <w:color w:val="000000"/>
                <w:sz w:val="22"/>
                <w:highlight w:val="none"/>
                <w:lang w:val="en-US" w:eastAsia="zh-CN"/>
              </w:rPr>
            </w:pPr>
            <w:r>
              <w:rPr>
                <w:rFonts w:hint="eastAsia"/>
                <w:color w:val="000000"/>
                <w:sz w:val="22"/>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48" w:type="dxa"/>
            <w:shd w:val="clear" w:color="auto" w:fill="auto"/>
            <w:vAlign w:val="center"/>
          </w:tcPr>
          <w:p>
            <w:pPr>
              <w:jc w:val="center"/>
              <w:rPr>
                <w:color w:val="000000"/>
                <w:sz w:val="22"/>
                <w:highlight w:val="none"/>
              </w:rPr>
            </w:pPr>
            <w:r>
              <w:rPr>
                <w:rFonts w:hint="eastAsia"/>
                <w:color w:val="000000"/>
                <w:sz w:val="22"/>
                <w:highlight w:val="none"/>
              </w:rPr>
              <w:t>项目过程</w:t>
            </w:r>
          </w:p>
        </w:tc>
        <w:tc>
          <w:tcPr>
            <w:tcW w:w="2590" w:type="dxa"/>
            <w:shd w:val="clear" w:color="auto" w:fill="auto"/>
            <w:vAlign w:val="center"/>
          </w:tcPr>
          <w:p>
            <w:pPr>
              <w:jc w:val="center"/>
              <w:rPr>
                <w:rFonts w:hint="default" w:eastAsia="仿宋_GB2312"/>
                <w:color w:val="000000"/>
                <w:sz w:val="22"/>
                <w:highlight w:val="none"/>
                <w:lang w:val="en-US" w:eastAsia="zh-CN"/>
              </w:rPr>
            </w:pPr>
            <w:r>
              <w:rPr>
                <w:rFonts w:hint="eastAsia"/>
                <w:color w:val="000000"/>
                <w:sz w:val="22"/>
                <w:highlight w:val="none"/>
                <w:lang w:val="en-US" w:eastAsia="zh-CN"/>
              </w:rPr>
              <w:t>20</w:t>
            </w:r>
          </w:p>
        </w:tc>
        <w:tc>
          <w:tcPr>
            <w:tcW w:w="2720" w:type="dxa"/>
            <w:shd w:val="clear" w:color="auto" w:fill="auto"/>
            <w:vAlign w:val="center"/>
          </w:tcPr>
          <w:p>
            <w:pPr>
              <w:jc w:val="center"/>
              <w:rPr>
                <w:rFonts w:hint="default" w:eastAsia="仿宋_GB2312"/>
                <w:color w:val="000000"/>
                <w:sz w:val="22"/>
                <w:highlight w:val="none"/>
                <w:lang w:val="en-US" w:eastAsia="zh-CN"/>
              </w:rPr>
            </w:pPr>
            <w:r>
              <w:rPr>
                <w:rFonts w:hint="eastAsia"/>
                <w:color w:val="000000"/>
                <w:sz w:val="22"/>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48" w:type="dxa"/>
            <w:shd w:val="clear" w:color="auto" w:fill="auto"/>
            <w:vAlign w:val="center"/>
          </w:tcPr>
          <w:p>
            <w:pPr>
              <w:jc w:val="center"/>
              <w:rPr>
                <w:color w:val="000000"/>
                <w:sz w:val="22"/>
                <w:highlight w:val="none"/>
              </w:rPr>
            </w:pPr>
            <w:r>
              <w:rPr>
                <w:rFonts w:hint="eastAsia"/>
                <w:color w:val="000000"/>
                <w:sz w:val="22"/>
                <w:highlight w:val="none"/>
              </w:rPr>
              <w:t>项目产出</w:t>
            </w:r>
          </w:p>
        </w:tc>
        <w:tc>
          <w:tcPr>
            <w:tcW w:w="2590" w:type="dxa"/>
            <w:shd w:val="clear" w:color="auto" w:fill="auto"/>
            <w:vAlign w:val="center"/>
          </w:tcPr>
          <w:p>
            <w:pPr>
              <w:jc w:val="center"/>
              <w:rPr>
                <w:rFonts w:hint="default" w:eastAsia="仿宋_GB2312"/>
                <w:color w:val="000000"/>
                <w:sz w:val="22"/>
                <w:highlight w:val="none"/>
                <w:lang w:val="en-US" w:eastAsia="zh-CN"/>
              </w:rPr>
            </w:pPr>
            <w:r>
              <w:rPr>
                <w:rFonts w:hint="eastAsia"/>
                <w:color w:val="000000"/>
                <w:sz w:val="22"/>
                <w:highlight w:val="none"/>
                <w:lang w:val="en-US" w:eastAsia="zh-CN"/>
              </w:rPr>
              <w:t>40</w:t>
            </w:r>
          </w:p>
        </w:tc>
        <w:tc>
          <w:tcPr>
            <w:tcW w:w="2720" w:type="dxa"/>
            <w:shd w:val="clear" w:color="auto" w:fill="auto"/>
            <w:vAlign w:val="center"/>
          </w:tcPr>
          <w:p>
            <w:pPr>
              <w:jc w:val="center"/>
              <w:rPr>
                <w:rFonts w:hint="default" w:eastAsia="仿宋_GB2312"/>
                <w:color w:val="000000"/>
                <w:sz w:val="22"/>
                <w:highlight w:val="none"/>
                <w:lang w:val="en-US" w:eastAsia="zh-CN"/>
              </w:rPr>
            </w:pPr>
            <w:r>
              <w:rPr>
                <w:rFonts w:hint="eastAsia"/>
                <w:color w:val="000000"/>
                <w:sz w:val="22"/>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48" w:type="dxa"/>
            <w:shd w:val="clear" w:color="auto" w:fill="auto"/>
            <w:vAlign w:val="center"/>
          </w:tcPr>
          <w:p>
            <w:pPr>
              <w:jc w:val="center"/>
              <w:rPr>
                <w:color w:val="000000"/>
                <w:sz w:val="22"/>
                <w:highlight w:val="none"/>
              </w:rPr>
            </w:pPr>
            <w:r>
              <w:rPr>
                <w:rFonts w:hint="eastAsia"/>
                <w:color w:val="000000"/>
                <w:sz w:val="22"/>
                <w:highlight w:val="none"/>
              </w:rPr>
              <w:t>项目效益</w:t>
            </w:r>
          </w:p>
        </w:tc>
        <w:tc>
          <w:tcPr>
            <w:tcW w:w="2590" w:type="dxa"/>
            <w:shd w:val="clear" w:color="auto" w:fill="auto"/>
            <w:vAlign w:val="center"/>
          </w:tcPr>
          <w:p>
            <w:pPr>
              <w:jc w:val="center"/>
              <w:rPr>
                <w:rFonts w:hint="default" w:eastAsia="仿宋_GB2312"/>
                <w:color w:val="000000"/>
                <w:sz w:val="22"/>
                <w:highlight w:val="none"/>
                <w:lang w:val="en-US" w:eastAsia="zh-CN"/>
              </w:rPr>
            </w:pPr>
            <w:r>
              <w:rPr>
                <w:rFonts w:hint="eastAsia"/>
                <w:color w:val="000000"/>
                <w:sz w:val="22"/>
                <w:highlight w:val="none"/>
                <w:lang w:val="en-US" w:eastAsia="zh-CN"/>
              </w:rPr>
              <w:t>20</w:t>
            </w:r>
          </w:p>
        </w:tc>
        <w:tc>
          <w:tcPr>
            <w:tcW w:w="2720" w:type="dxa"/>
            <w:shd w:val="clear" w:color="auto" w:fill="auto"/>
            <w:vAlign w:val="center"/>
          </w:tcPr>
          <w:p>
            <w:pPr>
              <w:jc w:val="center"/>
              <w:rPr>
                <w:rFonts w:hint="default" w:eastAsia="仿宋_GB2312"/>
                <w:color w:val="000000"/>
                <w:sz w:val="22"/>
                <w:highlight w:val="none"/>
                <w:lang w:val="en-US" w:eastAsia="zh-CN"/>
              </w:rPr>
            </w:pPr>
            <w:r>
              <w:rPr>
                <w:rFonts w:hint="eastAsia"/>
                <w:color w:val="000000"/>
                <w:sz w:val="22"/>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48" w:type="dxa"/>
            <w:shd w:val="clear" w:color="auto" w:fill="auto"/>
            <w:vAlign w:val="center"/>
          </w:tcPr>
          <w:p>
            <w:pPr>
              <w:jc w:val="center"/>
              <w:rPr>
                <w:rFonts w:cs="宋体"/>
                <w:b/>
                <w:bCs/>
                <w:color w:val="000000"/>
                <w:sz w:val="22"/>
                <w:highlight w:val="none"/>
              </w:rPr>
            </w:pPr>
            <w:r>
              <w:rPr>
                <w:rFonts w:hint="eastAsia" w:cs="宋体"/>
                <w:b/>
                <w:bCs/>
                <w:color w:val="000000"/>
                <w:sz w:val="22"/>
                <w:highlight w:val="none"/>
              </w:rPr>
              <w:t>合计</w:t>
            </w:r>
          </w:p>
        </w:tc>
        <w:tc>
          <w:tcPr>
            <w:tcW w:w="2590" w:type="dxa"/>
            <w:shd w:val="clear" w:color="auto" w:fill="auto"/>
            <w:vAlign w:val="center"/>
          </w:tcPr>
          <w:p>
            <w:pPr>
              <w:jc w:val="center"/>
              <w:rPr>
                <w:rFonts w:hint="default" w:eastAsia="仿宋_GB2312"/>
                <w:b/>
                <w:bCs/>
                <w:color w:val="000000"/>
                <w:sz w:val="22"/>
                <w:highlight w:val="none"/>
                <w:lang w:val="en-US" w:eastAsia="zh-CN"/>
              </w:rPr>
            </w:pPr>
            <w:r>
              <w:rPr>
                <w:rFonts w:hint="eastAsia"/>
                <w:b/>
                <w:bCs/>
                <w:color w:val="000000"/>
                <w:sz w:val="22"/>
                <w:highlight w:val="none"/>
                <w:lang w:val="en-US" w:eastAsia="zh-CN"/>
              </w:rPr>
              <w:t>100</w:t>
            </w:r>
          </w:p>
        </w:tc>
        <w:tc>
          <w:tcPr>
            <w:tcW w:w="2720" w:type="dxa"/>
            <w:shd w:val="clear" w:color="auto" w:fill="auto"/>
            <w:vAlign w:val="center"/>
          </w:tcPr>
          <w:p>
            <w:pPr>
              <w:jc w:val="center"/>
              <w:rPr>
                <w:rFonts w:hint="default" w:eastAsia="仿宋_GB2312"/>
                <w:b/>
                <w:bCs/>
                <w:color w:val="000000"/>
                <w:sz w:val="22"/>
                <w:highlight w:val="none"/>
                <w:lang w:val="en-US" w:eastAsia="zh-CN"/>
              </w:rPr>
            </w:pPr>
            <w:r>
              <w:rPr>
                <w:rFonts w:hint="eastAsia"/>
                <w:b/>
                <w:bCs/>
                <w:color w:val="000000"/>
                <w:sz w:val="22"/>
                <w:highlight w:val="none"/>
                <w:lang w:val="en-US" w:eastAsia="zh-CN"/>
              </w:rPr>
              <w:t>96</w:t>
            </w:r>
          </w:p>
        </w:tc>
      </w:tr>
    </w:tbl>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（二）评价结论</w:t>
      </w:r>
    </w:p>
    <w:p>
      <w:pPr>
        <w:spacing w:line="600" w:lineRule="exact"/>
        <w:ind w:firstLine="640" w:firstLineChars="200"/>
        <w:rPr>
          <w:rFonts w:hint="eastAsia" w:eastAsia="仿宋_GB2312"/>
          <w:color w:val="auto"/>
          <w:sz w:val="32"/>
          <w:szCs w:val="32"/>
          <w:highlight w:val="none"/>
          <w:lang w:eastAsia="zh-CN"/>
        </w:rPr>
      </w:pPr>
      <w:r>
        <w:rPr>
          <w:rFonts w:hint="eastAsia"/>
          <w:color w:val="auto"/>
          <w:sz w:val="32"/>
          <w:szCs w:val="32"/>
          <w:highlight w:val="none"/>
        </w:rPr>
        <w:t>本项目的项目决策、项目过程、项目产出、项目效益</w:t>
      </w:r>
      <w:r>
        <w:rPr>
          <w:rFonts w:hint="eastAsia"/>
          <w:color w:val="auto"/>
          <w:sz w:val="32"/>
          <w:szCs w:val="32"/>
          <w:highlight w:val="none"/>
          <w:lang w:val="en-US" w:eastAsia="zh-CN"/>
        </w:rPr>
        <w:t>大部分</w:t>
      </w:r>
      <w:r>
        <w:rPr>
          <w:rFonts w:hint="eastAsia"/>
          <w:color w:val="auto"/>
          <w:sz w:val="32"/>
          <w:szCs w:val="32"/>
          <w:highlight w:val="none"/>
        </w:rPr>
        <w:t>达到了预期要求，最终评分为</w:t>
      </w:r>
      <w:r>
        <w:rPr>
          <w:rFonts w:hint="eastAsia"/>
          <w:color w:val="auto"/>
          <w:sz w:val="32"/>
          <w:szCs w:val="32"/>
          <w:highlight w:val="none"/>
          <w:lang w:val="en-US" w:eastAsia="zh-CN"/>
        </w:rPr>
        <w:t>96</w:t>
      </w:r>
      <w:r>
        <w:rPr>
          <w:rFonts w:hint="eastAsia"/>
          <w:color w:val="auto"/>
          <w:sz w:val="32"/>
          <w:szCs w:val="32"/>
          <w:highlight w:val="none"/>
        </w:rPr>
        <w:t>分，评价等级为“优”，项目</w:t>
      </w:r>
      <w:r>
        <w:rPr>
          <w:rFonts w:hint="eastAsia"/>
          <w:color w:val="auto"/>
          <w:sz w:val="32"/>
          <w:szCs w:val="32"/>
          <w:highlight w:val="none"/>
          <w:lang w:val="en-US" w:eastAsia="zh-CN"/>
        </w:rPr>
        <w:t>大部分</w:t>
      </w:r>
      <w:r>
        <w:rPr>
          <w:rFonts w:hint="eastAsia"/>
          <w:color w:val="auto"/>
          <w:sz w:val="32"/>
          <w:szCs w:val="32"/>
          <w:highlight w:val="none"/>
        </w:rPr>
        <w:t>达成年度指标</w:t>
      </w:r>
      <w:r>
        <w:rPr>
          <w:rFonts w:hint="eastAsia"/>
          <w:color w:val="auto"/>
          <w:sz w:val="32"/>
          <w:szCs w:val="32"/>
          <w:highlight w:val="none"/>
          <w:lang w:eastAsia="zh-CN"/>
        </w:rPr>
        <w:t>，</w:t>
      </w:r>
      <w:r>
        <w:rPr>
          <w:rFonts w:hint="eastAsia"/>
          <w:color w:val="auto"/>
          <w:sz w:val="32"/>
          <w:szCs w:val="32"/>
          <w:highlight w:val="none"/>
          <w:lang w:val="en-US" w:eastAsia="zh-CN"/>
        </w:rPr>
        <w:t>产出指标未达成年度指标的原因是项目已完成工程建设，但未完成竣工验收，无法准确的反映和考核项目质量指标目标的实现程度。下一步我们将督促三方及时进行项目竣工验收。</w:t>
      </w:r>
    </w:p>
    <w:p>
      <w:pPr>
        <w:spacing w:line="60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四、绩效评价指标分析</w:t>
      </w:r>
    </w:p>
    <w:p>
      <w:pPr>
        <w:spacing w:line="600" w:lineRule="exact"/>
        <w:ind w:firstLine="640" w:firstLineChars="200"/>
        <w:rPr>
          <w:rFonts w:hint="eastAsia" w:ascii="方正楷体简体" w:eastAsia="方正楷体简体"/>
          <w:sz w:val="32"/>
          <w:szCs w:val="32"/>
          <w:highlight w:val="none"/>
        </w:rPr>
      </w:pPr>
      <w:r>
        <w:rPr>
          <w:rFonts w:hint="eastAsia" w:ascii="方正楷体简体" w:eastAsia="方正楷体简体"/>
          <w:sz w:val="32"/>
          <w:szCs w:val="32"/>
          <w:highlight w:val="none"/>
        </w:rPr>
        <w:t>（一）项目决策情况。</w:t>
      </w:r>
    </w:p>
    <w:p>
      <w:pPr>
        <w:spacing w:line="600" w:lineRule="exact"/>
        <w:ind w:firstLine="640" w:firstLineChars="200"/>
        <w:rPr>
          <w:rFonts w:hint="eastAsia"/>
          <w:sz w:val="32"/>
          <w:szCs w:val="32"/>
          <w:highlight w:val="none"/>
        </w:rPr>
      </w:pPr>
      <w:r>
        <w:rPr>
          <w:rFonts w:hint="eastAsia"/>
          <w:sz w:val="32"/>
          <w:szCs w:val="32"/>
          <w:highlight w:val="none"/>
        </w:rPr>
        <w:t>1.立项依据充分性</w:t>
      </w:r>
    </w:p>
    <w:p>
      <w:pPr>
        <w:spacing w:line="600" w:lineRule="exact"/>
        <w:ind w:firstLine="960" w:firstLineChars="300"/>
        <w:rPr>
          <w:rFonts w:hint="eastAsia" w:eastAsia="仿宋_GB2312"/>
          <w:color w:val="auto"/>
          <w:sz w:val="32"/>
          <w:szCs w:val="32"/>
          <w:highlight w:val="none"/>
          <w:lang w:eastAsia="zh-CN"/>
        </w:rPr>
      </w:pPr>
      <w:r>
        <w:rPr>
          <w:rFonts w:hint="eastAsia"/>
          <w:color w:val="auto"/>
          <w:sz w:val="32"/>
          <w:szCs w:val="32"/>
          <w:highlight w:val="none"/>
        </w:rPr>
        <w:t>项目立项</w:t>
      </w:r>
      <w:r>
        <w:rPr>
          <w:rFonts w:hint="eastAsia"/>
          <w:color w:val="auto"/>
          <w:sz w:val="32"/>
          <w:szCs w:val="32"/>
          <w:highlight w:val="none"/>
          <w:lang w:val="en-US" w:eastAsia="zh-CN"/>
        </w:rPr>
        <w:t>依据有《关于下达2023年自治区农村综合改革转移支付预算的通知》巴财农</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35号、《</w:t>
      </w:r>
      <w:r>
        <w:rPr>
          <w:rFonts w:hint="eastAsia"/>
          <w:color w:val="auto"/>
          <w:sz w:val="32"/>
          <w:szCs w:val="32"/>
          <w:highlight w:val="none"/>
          <w:lang w:val="en-US" w:eastAsia="zh-CN"/>
        </w:rPr>
        <w:t>关于下达2023年中央农村综合改革转移支付预算的通知</w:t>
      </w:r>
      <w:r>
        <w:rPr>
          <w:rFonts w:hint="eastAsia" w:ascii="仿宋_GB2312" w:hAnsi="仿宋_GB2312" w:cs="仿宋_GB2312"/>
          <w:color w:val="auto"/>
          <w:sz w:val="32"/>
          <w:szCs w:val="32"/>
          <w:highlight w:val="none"/>
          <w:lang w:val="en-US" w:eastAsia="zh-CN"/>
        </w:rPr>
        <w:t>》巴财农〔2023〕36号</w:t>
      </w:r>
      <w:r>
        <w:rPr>
          <w:rFonts w:hint="eastAsia"/>
          <w:color w:val="auto"/>
          <w:sz w:val="32"/>
          <w:szCs w:val="32"/>
          <w:highlight w:val="none"/>
          <w:lang w:val="en-US" w:eastAsia="zh-CN"/>
        </w:rPr>
        <w:t>等文件，对本布图镇再格森诺尔村基本情况、总投资概算及资金来源情况、项目单项工程投资概算等进行统计，</w:t>
      </w:r>
      <w:r>
        <w:rPr>
          <w:rFonts w:hint="eastAsia"/>
          <w:color w:val="auto"/>
          <w:sz w:val="32"/>
          <w:szCs w:val="32"/>
          <w:highlight w:val="none"/>
        </w:rPr>
        <w:t>符合国家法律法规、国民经济发展规划和相关政策</w:t>
      </w:r>
      <w:r>
        <w:rPr>
          <w:rFonts w:hint="eastAsia"/>
          <w:color w:val="auto"/>
          <w:sz w:val="32"/>
          <w:szCs w:val="32"/>
          <w:highlight w:val="none"/>
          <w:lang w:eastAsia="zh-CN"/>
        </w:rPr>
        <w:t>；</w:t>
      </w:r>
      <w:r>
        <w:rPr>
          <w:rFonts w:hint="eastAsia"/>
          <w:color w:val="auto"/>
          <w:sz w:val="32"/>
          <w:szCs w:val="32"/>
          <w:highlight w:val="none"/>
          <w:lang w:val="en-US" w:eastAsia="zh-CN"/>
        </w:rPr>
        <w:t>项目按照我镇实际情况及职责范围设立，</w:t>
      </w:r>
      <w:r>
        <w:rPr>
          <w:rFonts w:hint="eastAsia"/>
          <w:color w:val="auto"/>
          <w:sz w:val="32"/>
          <w:szCs w:val="32"/>
          <w:highlight w:val="none"/>
          <w:lang w:eastAsia="zh-CN"/>
        </w:rPr>
        <w:t>与职责范围相符，属于部门履职所需；</w:t>
      </w:r>
      <w:r>
        <w:rPr>
          <w:rFonts w:hint="eastAsia"/>
          <w:color w:val="auto"/>
          <w:sz w:val="32"/>
          <w:szCs w:val="32"/>
          <w:highlight w:val="none"/>
          <w:lang w:val="en-US" w:eastAsia="zh-CN"/>
        </w:rPr>
        <w:t>项目是对本布图镇再格森诺尔村进行乡村建设，是转移资金支持的范围；项目没有</w:t>
      </w:r>
      <w:r>
        <w:rPr>
          <w:rFonts w:hint="eastAsia"/>
          <w:color w:val="auto"/>
          <w:sz w:val="32"/>
          <w:szCs w:val="32"/>
          <w:highlight w:val="none"/>
          <w:lang w:eastAsia="zh-CN"/>
        </w:rPr>
        <w:t>与相关部门同类项目或部门内部相关项目重复。</w:t>
      </w:r>
    </w:p>
    <w:p>
      <w:pPr>
        <w:spacing w:line="600" w:lineRule="exact"/>
        <w:ind w:firstLine="640" w:firstLineChars="200"/>
        <w:rPr>
          <w:rFonts w:hint="eastAsia"/>
          <w:sz w:val="32"/>
          <w:szCs w:val="32"/>
          <w:highlight w:val="none"/>
        </w:rPr>
      </w:pPr>
      <w:r>
        <w:rPr>
          <w:rFonts w:hint="eastAsia"/>
          <w:sz w:val="32"/>
          <w:szCs w:val="32"/>
          <w:highlight w:val="none"/>
        </w:rPr>
        <w:t>2.立项程序规范性</w:t>
      </w:r>
    </w:p>
    <w:p>
      <w:pPr>
        <w:spacing w:line="600" w:lineRule="exact"/>
        <w:ind w:firstLine="640" w:firstLineChars="200"/>
        <w:rPr>
          <w:rFonts w:hint="eastAsia" w:eastAsia="仿宋_GB2312"/>
          <w:color w:val="auto"/>
          <w:sz w:val="32"/>
          <w:szCs w:val="32"/>
          <w:highlight w:val="none"/>
          <w:lang w:eastAsia="zh-CN"/>
        </w:rPr>
      </w:pPr>
      <w:r>
        <w:rPr>
          <w:rFonts w:hint="eastAsia"/>
          <w:color w:val="auto"/>
          <w:sz w:val="32"/>
          <w:szCs w:val="32"/>
          <w:highlight w:val="none"/>
        </w:rPr>
        <w:t>本布图镇再格森诺尔村美丽乡村建设试点项目</w:t>
      </w:r>
      <w:r>
        <w:rPr>
          <w:rFonts w:hint="eastAsia"/>
          <w:color w:val="auto"/>
          <w:sz w:val="32"/>
          <w:szCs w:val="32"/>
          <w:highlight w:val="none"/>
          <w:lang w:val="en-US" w:eastAsia="zh-CN"/>
        </w:rPr>
        <w:t>对村人口集聚和受益人口情况、建设规划成熟程度、覆盖区域、村基础设施建设状况、村容村貌整体情况、村集体经济收入状况、农牧民参与美丽乡村建设的积极性、资源整合情况、村内合理布局情况、项目社会和经济效益等情况进行了评审，根据县委文件工作部署，制定了项目实施方案，根据项目工程投资概算设立了项目预算，项目的</w:t>
      </w:r>
      <w:r>
        <w:rPr>
          <w:rFonts w:hint="eastAsia"/>
          <w:color w:val="auto"/>
          <w:sz w:val="32"/>
          <w:szCs w:val="32"/>
          <w:highlight w:val="none"/>
        </w:rPr>
        <w:t>审批文件、材料符合相关要求</w:t>
      </w:r>
      <w:r>
        <w:rPr>
          <w:rFonts w:hint="eastAsia"/>
          <w:color w:val="auto"/>
          <w:sz w:val="32"/>
          <w:szCs w:val="32"/>
          <w:highlight w:val="none"/>
          <w:lang w:eastAsia="zh-CN"/>
        </w:rPr>
        <w:t>。</w:t>
      </w:r>
    </w:p>
    <w:p>
      <w:pPr>
        <w:spacing w:line="600" w:lineRule="exact"/>
        <w:ind w:firstLine="640" w:firstLineChars="200"/>
        <w:rPr>
          <w:rFonts w:hint="eastAsia"/>
          <w:sz w:val="32"/>
          <w:szCs w:val="32"/>
        </w:rPr>
      </w:pPr>
      <w:r>
        <w:rPr>
          <w:rFonts w:hint="eastAsia"/>
          <w:sz w:val="32"/>
          <w:szCs w:val="32"/>
        </w:rPr>
        <w:t>3.绩效目标合理性</w:t>
      </w:r>
    </w:p>
    <w:p>
      <w:pPr>
        <w:spacing w:line="600" w:lineRule="exact"/>
        <w:ind w:firstLine="640" w:firstLineChars="200"/>
        <w:rPr>
          <w:rFonts w:hint="eastAsia"/>
          <w:color w:val="auto"/>
          <w:sz w:val="32"/>
          <w:szCs w:val="32"/>
          <w:lang w:eastAsia="zh-CN"/>
        </w:rPr>
      </w:pPr>
      <w:r>
        <w:rPr>
          <w:rFonts w:hint="eastAsia"/>
          <w:color w:val="auto"/>
          <w:sz w:val="32"/>
          <w:szCs w:val="32"/>
        </w:rPr>
        <w:t>本布图镇再格森诺尔村美丽乡村建设试点项目项</w:t>
      </w:r>
      <w:r>
        <w:rPr>
          <w:rFonts w:hint="eastAsia"/>
          <w:color w:val="auto"/>
          <w:sz w:val="32"/>
          <w:szCs w:val="32"/>
          <w:lang w:eastAsia="zh-CN"/>
        </w:rPr>
        <w:t>设立了项目绩效目标，修建休闲凉棚165平方米、零星硬化美化整治面积2016平方米。与</w:t>
      </w:r>
      <w:r>
        <w:rPr>
          <w:rFonts w:hint="eastAsia"/>
          <w:color w:val="auto"/>
          <w:sz w:val="32"/>
          <w:szCs w:val="32"/>
          <w:lang w:val="en-US" w:eastAsia="zh-CN"/>
        </w:rPr>
        <w:t>实际工作内容相关，</w:t>
      </w:r>
      <w:r>
        <w:rPr>
          <w:rFonts w:hint="eastAsia"/>
          <w:color w:val="auto"/>
          <w:sz w:val="32"/>
          <w:szCs w:val="32"/>
          <w:lang w:eastAsia="zh-CN"/>
        </w:rPr>
        <w:t>项目的预期产出效益和效果也均能符合正常的业绩水平，并且与预算确定的项目投资额或资金量相匹配。</w:t>
      </w:r>
    </w:p>
    <w:p>
      <w:pPr>
        <w:spacing w:line="600" w:lineRule="exact"/>
        <w:ind w:firstLine="640" w:firstLineChars="200"/>
        <w:rPr>
          <w:rFonts w:hint="eastAsia"/>
          <w:sz w:val="32"/>
          <w:szCs w:val="32"/>
        </w:rPr>
      </w:pPr>
      <w:r>
        <w:rPr>
          <w:rFonts w:hint="eastAsia"/>
          <w:sz w:val="32"/>
          <w:szCs w:val="32"/>
        </w:rPr>
        <w:t>4.绩效指标明确性</w:t>
      </w:r>
    </w:p>
    <w:p>
      <w:pPr>
        <w:spacing w:line="600" w:lineRule="exact"/>
        <w:ind w:firstLine="640" w:firstLineChars="200"/>
        <w:rPr>
          <w:rFonts w:hint="eastAsia"/>
          <w:color w:val="auto"/>
          <w:sz w:val="32"/>
          <w:szCs w:val="32"/>
          <w:lang w:eastAsia="zh-CN"/>
        </w:rPr>
      </w:pPr>
      <w:r>
        <w:rPr>
          <w:rFonts w:hint="eastAsia"/>
          <w:color w:val="auto"/>
          <w:sz w:val="32"/>
          <w:szCs w:val="32"/>
        </w:rPr>
        <w:t>本布图镇再格森诺尔村美丽乡村建设试点项目</w:t>
      </w:r>
      <w:r>
        <w:rPr>
          <w:rFonts w:hint="eastAsia"/>
          <w:color w:val="auto"/>
          <w:sz w:val="32"/>
          <w:szCs w:val="32"/>
          <w:lang w:eastAsia="zh-CN"/>
        </w:rPr>
        <w:t>将项目绩效目标细化分解为具体的绩效指标，一级指标共</w:t>
      </w:r>
      <w:r>
        <w:rPr>
          <w:rFonts w:hint="eastAsia"/>
          <w:color w:val="auto"/>
          <w:sz w:val="32"/>
          <w:szCs w:val="32"/>
          <w:lang w:val="en-US" w:eastAsia="zh-CN"/>
        </w:rPr>
        <w:t>4</w:t>
      </w:r>
      <w:r>
        <w:rPr>
          <w:rFonts w:hint="eastAsia"/>
          <w:color w:val="auto"/>
          <w:sz w:val="32"/>
          <w:szCs w:val="32"/>
          <w:lang w:eastAsia="zh-CN"/>
        </w:rPr>
        <w:t>条，二级指标共</w:t>
      </w:r>
      <w:r>
        <w:rPr>
          <w:rFonts w:hint="eastAsia"/>
          <w:color w:val="auto"/>
          <w:sz w:val="32"/>
          <w:szCs w:val="32"/>
          <w:lang w:val="en-US" w:eastAsia="zh-CN"/>
        </w:rPr>
        <w:t>6</w:t>
      </w:r>
      <w:r>
        <w:rPr>
          <w:rFonts w:hint="eastAsia"/>
          <w:color w:val="auto"/>
          <w:sz w:val="32"/>
          <w:szCs w:val="32"/>
          <w:lang w:eastAsia="zh-CN"/>
        </w:rPr>
        <w:t>条，三级指标共</w:t>
      </w:r>
      <w:r>
        <w:rPr>
          <w:rFonts w:hint="eastAsia"/>
          <w:color w:val="auto"/>
          <w:sz w:val="32"/>
          <w:szCs w:val="32"/>
          <w:lang w:val="en-US" w:eastAsia="zh-CN"/>
        </w:rPr>
        <w:t>10</w:t>
      </w:r>
      <w:r>
        <w:rPr>
          <w:rFonts w:hint="eastAsia"/>
          <w:color w:val="auto"/>
          <w:sz w:val="32"/>
          <w:szCs w:val="32"/>
          <w:lang w:eastAsia="zh-CN"/>
        </w:rPr>
        <w:t>条，其中量化指标条数共</w:t>
      </w:r>
      <w:r>
        <w:rPr>
          <w:rFonts w:hint="eastAsia"/>
          <w:color w:val="auto"/>
          <w:sz w:val="32"/>
          <w:szCs w:val="32"/>
          <w:lang w:val="en-US" w:eastAsia="zh-CN"/>
        </w:rPr>
        <w:t>9</w:t>
      </w:r>
      <w:r>
        <w:rPr>
          <w:rFonts w:hint="eastAsia"/>
          <w:color w:val="auto"/>
          <w:sz w:val="32"/>
          <w:szCs w:val="32"/>
          <w:lang w:eastAsia="zh-CN"/>
        </w:rPr>
        <w:t>条，所有绩效指标均通过清晰、可衡量的指标值予以体现，并且做到了与项目目标任务数或计划数相对应。</w:t>
      </w:r>
    </w:p>
    <w:p>
      <w:pPr>
        <w:spacing w:line="600" w:lineRule="exact"/>
        <w:ind w:firstLine="640" w:firstLineChars="200"/>
        <w:rPr>
          <w:rFonts w:hint="eastAsia"/>
          <w:sz w:val="32"/>
          <w:szCs w:val="32"/>
        </w:rPr>
      </w:pPr>
      <w:r>
        <w:rPr>
          <w:rFonts w:hint="eastAsia"/>
          <w:sz w:val="32"/>
          <w:szCs w:val="32"/>
        </w:rPr>
        <w:t>5.预算编制科学性</w:t>
      </w:r>
    </w:p>
    <w:p>
      <w:pPr>
        <w:spacing w:line="600" w:lineRule="exact"/>
        <w:ind w:firstLine="640" w:firstLineChars="200"/>
        <w:rPr>
          <w:rFonts w:hint="eastAsia"/>
          <w:color w:val="FF0000"/>
          <w:sz w:val="32"/>
          <w:szCs w:val="32"/>
          <w:lang w:eastAsia="zh-CN"/>
        </w:rPr>
      </w:pPr>
      <w:r>
        <w:rPr>
          <w:rFonts w:hint="eastAsia"/>
          <w:color w:val="auto"/>
          <w:sz w:val="32"/>
          <w:szCs w:val="32"/>
        </w:rPr>
        <w:t>本布图镇再格森诺尔村美丽乡村建设试点项目</w:t>
      </w:r>
      <w:r>
        <w:rPr>
          <w:rFonts w:hint="eastAsia"/>
          <w:color w:val="auto"/>
          <w:sz w:val="32"/>
          <w:szCs w:val="32"/>
          <w:lang w:eastAsia="zh-CN"/>
        </w:rPr>
        <w:t>将项目预算编制经过</w:t>
      </w:r>
      <w:r>
        <w:rPr>
          <w:rFonts w:hint="eastAsia"/>
          <w:color w:val="auto"/>
          <w:sz w:val="32"/>
          <w:szCs w:val="32"/>
          <w:lang w:val="en-US" w:eastAsia="zh-CN"/>
        </w:rPr>
        <w:t>财政局农经股等部门的</w:t>
      </w:r>
      <w:r>
        <w:rPr>
          <w:rFonts w:hint="eastAsia"/>
          <w:color w:val="auto"/>
          <w:sz w:val="32"/>
          <w:szCs w:val="32"/>
          <w:lang w:eastAsia="zh-CN"/>
        </w:rPr>
        <w:t>科学论证；预算内容与项目内容</w:t>
      </w:r>
      <w:r>
        <w:rPr>
          <w:rFonts w:hint="eastAsia"/>
          <w:color w:val="auto"/>
          <w:sz w:val="32"/>
          <w:szCs w:val="32"/>
          <w:lang w:val="en-US" w:eastAsia="zh-CN"/>
        </w:rPr>
        <w:t>相</w:t>
      </w:r>
      <w:r>
        <w:rPr>
          <w:rFonts w:hint="eastAsia"/>
          <w:color w:val="auto"/>
          <w:sz w:val="32"/>
          <w:szCs w:val="32"/>
          <w:lang w:eastAsia="zh-CN"/>
        </w:rPr>
        <w:t>匹配；预算额度测算依据</w:t>
      </w:r>
      <w:r>
        <w:rPr>
          <w:rFonts w:hint="eastAsia"/>
          <w:color w:val="auto"/>
          <w:sz w:val="32"/>
          <w:szCs w:val="32"/>
          <w:lang w:val="en-US" w:eastAsia="zh-CN"/>
        </w:rPr>
        <w:t>根据博湖县财政局相关规定核定</w:t>
      </w:r>
      <w:r>
        <w:rPr>
          <w:rFonts w:hint="eastAsia"/>
          <w:color w:val="auto"/>
          <w:sz w:val="32"/>
          <w:szCs w:val="32"/>
          <w:lang w:eastAsia="zh-CN"/>
        </w:rPr>
        <w:t>，</w:t>
      </w:r>
      <w:r>
        <w:rPr>
          <w:rFonts w:hint="eastAsia"/>
          <w:color w:val="auto"/>
          <w:sz w:val="32"/>
          <w:szCs w:val="32"/>
          <w:lang w:val="en-US" w:eastAsia="zh-CN"/>
        </w:rPr>
        <w:t>在规定的标准以内，测算依据充分，是</w:t>
      </w:r>
      <w:r>
        <w:rPr>
          <w:rFonts w:hint="eastAsia"/>
          <w:color w:val="auto"/>
          <w:sz w:val="32"/>
          <w:szCs w:val="32"/>
          <w:lang w:eastAsia="zh-CN"/>
        </w:rPr>
        <w:t>按照标准</w:t>
      </w:r>
      <w:r>
        <w:rPr>
          <w:rFonts w:hint="eastAsia"/>
          <w:color w:val="auto"/>
          <w:sz w:val="32"/>
          <w:szCs w:val="32"/>
          <w:lang w:val="en-US" w:eastAsia="zh-CN"/>
        </w:rPr>
        <w:t>进行</w:t>
      </w:r>
      <w:r>
        <w:rPr>
          <w:rFonts w:hint="eastAsia"/>
          <w:color w:val="auto"/>
          <w:sz w:val="32"/>
          <w:szCs w:val="32"/>
          <w:lang w:eastAsia="zh-CN"/>
        </w:rPr>
        <w:t>编制</w:t>
      </w:r>
      <w:r>
        <w:rPr>
          <w:rFonts w:hint="eastAsia"/>
          <w:color w:val="auto"/>
          <w:sz w:val="32"/>
          <w:szCs w:val="32"/>
          <w:lang w:val="en-US" w:eastAsia="zh-CN"/>
        </w:rPr>
        <w:t>的</w:t>
      </w:r>
      <w:r>
        <w:rPr>
          <w:rFonts w:hint="eastAsia"/>
          <w:color w:val="auto"/>
          <w:sz w:val="32"/>
          <w:szCs w:val="32"/>
          <w:lang w:eastAsia="zh-CN"/>
        </w:rPr>
        <w:t>；预算确定的项目投资额与工作任务相匹配。</w:t>
      </w:r>
    </w:p>
    <w:p>
      <w:pPr>
        <w:spacing w:line="600" w:lineRule="exact"/>
        <w:ind w:firstLine="640" w:firstLineChars="200"/>
        <w:rPr>
          <w:rFonts w:hint="eastAsia"/>
          <w:sz w:val="32"/>
          <w:szCs w:val="32"/>
        </w:rPr>
      </w:pPr>
      <w:r>
        <w:rPr>
          <w:rFonts w:hint="eastAsia"/>
          <w:sz w:val="32"/>
          <w:szCs w:val="32"/>
        </w:rPr>
        <w:t>6.资金分配合理性</w:t>
      </w:r>
    </w:p>
    <w:p>
      <w:pPr>
        <w:spacing w:line="600" w:lineRule="exact"/>
        <w:ind w:firstLine="640" w:firstLineChars="200"/>
        <w:rPr>
          <w:rFonts w:hint="eastAsia"/>
          <w:color w:val="auto"/>
          <w:sz w:val="32"/>
          <w:szCs w:val="32"/>
          <w:lang w:eastAsia="zh-CN"/>
        </w:rPr>
      </w:pPr>
      <w:r>
        <w:rPr>
          <w:rFonts w:hint="eastAsia"/>
          <w:color w:val="auto"/>
          <w:sz w:val="32"/>
          <w:szCs w:val="32"/>
          <w:lang w:eastAsia="zh-CN"/>
        </w:rPr>
        <w:t>本布图镇再格森诺尔村美丽乡村建设试点项目</w:t>
      </w:r>
      <w:r>
        <w:rPr>
          <w:rFonts w:hint="eastAsia"/>
          <w:color w:val="auto"/>
          <w:sz w:val="32"/>
          <w:szCs w:val="32"/>
          <w:lang w:val="en-US" w:eastAsia="zh-CN"/>
        </w:rPr>
        <w:t>实施方案完整，项目申报资料完整，</w:t>
      </w:r>
      <w:r>
        <w:rPr>
          <w:rFonts w:hint="eastAsia"/>
          <w:color w:val="auto"/>
          <w:sz w:val="32"/>
          <w:szCs w:val="32"/>
          <w:lang w:eastAsia="zh-CN"/>
        </w:rPr>
        <w:t>预算资金分配依据充分；单项工程</w:t>
      </w:r>
      <w:r>
        <w:rPr>
          <w:rFonts w:hint="eastAsia"/>
          <w:color w:val="auto"/>
          <w:sz w:val="32"/>
          <w:szCs w:val="32"/>
          <w:lang w:val="en-US" w:eastAsia="zh-CN"/>
        </w:rPr>
        <w:t>进行了</w:t>
      </w:r>
      <w:r>
        <w:rPr>
          <w:rFonts w:hint="eastAsia"/>
          <w:color w:val="auto"/>
          <w:sz w:val="32"/>
          <w:szCs w:val="32"/>
          <w:lang w:eastAsia="zh-CN"/>
        </w:rPr>
        <w:t>投资概算，资金分配额度合理，与地方实际相适应。</w:t>
      </w:r>
    </w:p>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（二）项目过程情况。</w:t>
      </w:r>
    </w:p>
    <w:p>
      <w:pPr>
        <w:spacing w:line="600" w:lineRule="exact"/>
        <w:ind w:firstLine="640" w:firstLineChars="200"/>
        <w:rPr>
          <w:rFonts w:hint="eastAsia"/>
          <w:sz w:val="32"/>
          <w:szCs w:val="32"/>
        </w:rPr>
      </w:pPr>
      <w:r>
        <w:rPr>
          <w:rFonts w:hint="eastAsia"/>
          <w:sz w:val="32"/>
          <w:szCs w:val="32"/>
        </w:rPr>
        <w:t>1.资金到位率：</w:t>
      </w:r>
    </w:p>
    <w:p>
      <w:pPr>
        <w:spacing w:line="600" w:lineRule="exact"/>
        <w:ind w:firstLine="640" w:firstLineChars="200"/>
        <w:rPr>
          <w:rFonts w:hint="eastAsia"/>
          <w:sz w:val="32"/>
          <w:szCs w:val="32"/>
          <w:highlight w:val="none"/>
        </w:rPr>
      </w:pPr>
      <w:r>
        <w:rPr>
          <w:rFonts w:hint="eastAsia"/>
          <w:sz w:val="32"/>
          <w:szCs w:val="32"/>
          <w:highlight w:val="none"/>
          <w:lang w:val="en-US" w:eastAsia="zh-CN"/>
        </w:rPr>
        <w:t>全年</w:t>
      </w:r>
      <w:r>
        <w:rPr>
          <w:rFonts w:hint="eastAsia"/>
          <w:sz w:val="32"/>
          <w:szCs w:val="32"/>
          <w:highlight w:val="none"/>
        </w:rPr>
        <w:t>预算资金</w:t>
      </w:r>
      <w:r>
        <w:rPr>
          <w:rFonts w:hint="eastAsia"/>
          <w:sz w:val="32"/>
          <w:szCs w:val="32"/>
          <w:highlight w:val="none"/>
          <w:lang w:val="en-US" w:eastAsia="zh-CN"/>
        </w:rPr>
        <w:t>59.7</w:t>
      </w:r>
      <w:r>
        <w:rPr>
          <w:rFonts w:hint="eastAsia"/>
          <w:sz w:val="32"/>
          <w:szCs w:val="32"/>
          <w:highlight w:val="none"/>
        </w:rPr>
        <w:t>万元，实际到位资金</w:t>
      </w:r>
      <w:r>
        <w:rPr>
          <w:rFonts w:hint="eastAsia"/>
          <w:sz w:val="32"/>
          <w:szCs w:val="32"/>
          <w:highlight w:val="none"/>
          <w:lang w:val="en-US" w:eastAsia="zh-CN"/>
        </w:rPr>
        <w:t>59.7</w:t>
      </w:r>
      <w:r>
        <w:rPr>
          <w:rFonts w:hint="eastAsia"/>
          <w:sz w:val="32"/>
          <w:szCs w:val="32"/>
          <w:highlight w:val="none"/>
        </w:rPr>
        <w:t>万元，资金到位率</w:t>
      </w:r>
      <w:r>
        <w:rPr>
          <w:rFonts w:hint="eastAsia"/>
          <w:sz w:val="32"/>
          <w:szCs w:val="32"/>
          <w:highlight w:val="none"/>
          <w:lang w:val="en-US" w:eastAsia="zh-CN"/>
        </w:rPr>
        <w:t>100</w:t>
      </w:r>
      <w:r>
        <w:rPr>
          <w:rFonts w:hint="eastAsia"/>
          <w:sz w:val="32"/>
          <w:szCs w:val="32"/>
          <w:highlight w:val="none"/>
        </w:rPr>
        <w:t>%。</w:t>
      </w:r>
    </w:p>
    <w:p>
      <w:pPr>
        <w:spacing w:line="600" w:lineRule="exact"/>
        <w:ind w:firstLine="640" w:firstLineChars="200"/>
        <w:rPr>
          <w:rFonts w:hint="eastAsia"/>
          <w:sz w:val="32"/>
          <w:szCs w:val="32"/>
        </w:rPr>
      </w:pPr>
      <w:r>
        <w:rPr>
          <w:rFonts w:hint="eastAsia"/>
          <w:sz w:val="32"/>
          <w:szCs w:val="32"/>
        </w:rPr>
        <w:t>2.预算执行率</w:t>
      </w:r>
    </w:p>
    <w:p>
      <w:pPr>
        <w:spacing w:line="600" w:lineRule="exact"/>
        <w:ind w:firstLine="640" w:firstLineChars="200"/>
        <w:rPr>
          <w:rFonts w:hint="eastAsia"/>
          <w:color w:val="FF0000"/>
          <w:sz w:val="32"/>
          <w:szCs w:val="32"/>
          <w:highlight w:val="none"/>
          <w:lang w:eastAsia="zh-CN"/>
        </w:rPr>
      </w:pPr>
      <w:r>
        <w:rPr>
          <w:rFonts w:hint="eastAsia"/>
          <w:sz w:val="32"/>
          <w:szCs w:val="32"/>
          <w:highlight w:val="none"/>
        </w:rPr>
        <w:t>年初预算数</w:t>
      </w:r>
      <w:r>
        <w:rPr>
          <w:rFonts w:hint="eastAsia"/>
          <w:sz w:val="32"/>
          <w:szCs w:val="32"/>
          <w:highlight w:val="none"/>
          <w:lang w:val="en-US" w:eastAsia="zh-CN"/>
        </w:rPr>
        <w:t>200</w:t>
      </w:r>
      <w:r>
        <w:rPr>
          <w:rFonts w:hint="eastAsia"/>
          <w:sz w:val="32"/>
          <w:szCs w:val="32"/>
          <w:highlight w:val="none"/>
        </w:rPr>
        <w:t>万元，全年预算数</w:t>
      </w:r>
      <w:r>
        <w:rPr>
          <w:rFonts w:hint="eastAsia"/>
          <w:sz w:val="32"/>
          <w:szCs w:val="32"/>
          <w:highlight w:val="none"/>
          <w:lang w:val="en-US" w:eastAsia="zh-CN"/>
        </w:rPr>
        <w:t>59.7</w:t>
      </w:r>
      <w:r>
        <w:rPr>
          <w:rFonts w:hint="eastAsia"/>
          <w:sz w:val="32"/>
          <w:szCs w:val="32"/>
          <w:highlight w:val="none"/>
        </w:rPr>
        <w:t>万元，全年执行数</w:t>
      </w:r>
      <w:r>
        <w:rPr>
          <w:rFonts w:hint="eastAsia"/>
          <w:sz w:val="32"/>
          <w:szCs w:val="32"/>
          <w:highlight w:val="none"/>
          <w:lang w:val="en-US" w:eastAsia="zh-CN"/>
        </w:rPr>
        <w:t>59.7</w:t>
      </w:r>
      <w:r>
        <w:rPr>
          <w:rFonts w:hint="eastAsia"/>
          <w:sz w:val="32"/>
          <w:szCs w:val="32"/>
          <w:highlight w:val="none"/>
        </w:rPr>
        <w:t>万元，预算执行率为</w:t>
      </w:r>
      <w:r>
        <w:rPr>
          <w:rFonts w:hint="eastAsia"/>
          <w:sz w:val="32"/>
          <w:szCs w:val="32"/>
          <w:highlight w:val="none"/>
          <w:lang w:val="en-US" w:eastAsia="zh-CN"/>
        </w:rPr>
        <w:t>100</w:t>
      </w:r>
      <w:r>
        <w:rPr>
          <w:rFonts w:hint="eastAsia"/>
          <w:sz w:val="32"/>
          <w:szCs w:val="32"/>
          <w:highlight w:val="none"/>
        </w:rPr>
        <w:t>%</w:t>
      </w:r>
      <w:r>
        <w:rPr>
          <w:rFonts w:hint="eastAsia"/>
          <w:color w:val="FF0000"/>
          <w:sz w:val="32"/>
          <w:szCs w:val="32"/>
          <w:highlight w:val="none"/>
          <w:lang w:val="en-US" w:eastAsia="zh-CN"/>
        </w:rPr>
        <w:t>。</w:t>
      </w:r>
    </w:p>
    <w:p>
      <w:pPr>
        <w:spacing w:line="600" w:lineRule="exact"/>
        <w:ind w:firstLine="640" w:firstLineChars="200"/>
        <w:rPr>
          <w:rFonts w:hint="eastAsia"/>
          <w:color w:val="auto"/>
          <w:sz w:val="32"/>
          <w:szCs w:val="32"/>
          <w:highlight w:val="none"/>
        </w:rPr>
      </w:pPr>
      <w:r>
        <w:rPr>
          <w:rFonts w:hint="eastAsia"/>
          <w:color w:val="auto"/>
          <w:sz w:val="32"/>
          <w:szCs w:val="32"/>
          <w:highlight w:val="none"/>
        </w:rPr>
        <w:t>3.资金使用合规性</w:t>
      </w:r>
    </w:p>
    <w:p>
      <w:pPr>
        <w:spacing w:line="600" w:lineRule="exact"/>
        <w:ind w:firstLine="640" w:firstLineChars="200"/>
        <w:rPr>
          <w:rFonts w:hint="eastAsia"/>
          <w:color w:val="auto"/>
          <w:sz w:val="32"/>
          <w:szCs w:val="32"/>
          <w:highlight w:val="none"/>
          <w:lang w:eastAsia="zh-CN"/>
        </w:rPr>
      </w:pPr>
      <w:r>
        <w:rPr>
          <w:rFonts w:hint="eastAsia"/>
          <w:color w:val="auto"/>
          <w:sz w:val="32"/>
          <w:szCs w:val="32"/>
          <w:highlight w:val="none"/>
          <w:lang w:val="en-US" w:eastAsia="zh-CN"/>
        </w:rPr>
        <w:t>该项目的资金使用符合《中华人民共和国会计法》《事业单位会计准则》《农村综合改革转移支付管理办法》等相关法律法规的规定，</w:t>
      </w:r>
      <w:r>
        <w:rPr>
          <w:rFonts w:hint="eastAsia"/>
          <w:color w:val="auto"/>
          <w:sz w:val="32"/>
          <w:szCs w:val="32"/>
          <w:highlight w:val="none"/>
          <w:lang w:eastAsia="zh-CN"/>
        </w:rPr>
        <w:t>资金的拨付</w:t>
      </w:r>
      <w:r>
        <w:rPr>
          <w:rFonts w:hint="eastAsia"/>
          <w:color w:val="auto"/>
          <w:sz w:val="32"/>
          <w:szCs w:val="32"/>
          <w:highlight w:val="none"/>
          <w:lang w:val="en-US" w:eastAsia="zh-CN"/>
        </w:rPr>
        <w:t>按照《博湖县财政资金审批管理办法》规定附</w:t>
      </w:r>
      <w:r>
        <w:rPr>
          <w:rFonts w:hint="eastAsia"/>
          <w:color w:val="auto"/>
          <w:sz w:val="32"/>
          <w:szCs w:val="32"/>
          <w:highlight w:val="none"/>
          <w:lang w:eastAsia="zh-CN"/>
        </w:rPr>
        <w:t>有</w:t>
      </w:r>
      <w:r>
        <w:rPr>
          <w:rFonts w:hint="eastAsia"/>
          <w:color w:val="auto"/>
          <w:sz w:val="32"/>
          <w:szCs w:val="32"/>
          <w:highlight w:val="none"/>
          <w:lang w:val="en-US" w:eastAsia="zh-CN"/>
        </w:rPr>
        <w:t>项目</w:t>
      </w:r>
      <w:r>
        <w:rPr>
          <w:rFonts w:hint="eastAsia"/>
          <w:color w:val="auto"/>
          <w:sz w:val="32"/>
          <w:szCs w:val="32"/>
          <w:highlight w:val="none"/>
          <w:lang w:eastAsia="zh-CN"/>
        </w:rPr>
        <w:t>完整的审批程序和手续；符合预算批复或合同规定的用途；</w:t>
      </w:r>
      <w:r>
        <w:rPr>
          <w:rFonts w:hint="eastAsia"/>
          <w:color w:val="auto"/>
          <w:sz w:val="32"/>
          <w:szCs w:val="32"/>
          <w:highlight w:val="none"/>
          <w:lang w:val="en-US" w:eastAsia="zh-CN"/>
        </w:rPr>
        <w:t>不</w:t>
      </w:r>
      <w:r>
        <w:rPr>
          <w:rFonts w:hint="eastAsia"/>
          <w:color w:val="auto"/>
          <w:sz w:val="32"/>
          <w:szCs w:val="32"/>
          <w:highlight w:val="none"/>
          <w:lang w:eastAsia="zh-CN"/>
        </w:rPr>
        <w:t>存在截留、挤占、挪用、虚列支出等情况。</w:t>
      </w:r>
    </w:p>
    <w:p>
      <w:pPr>
        <w:spacing w:line="600" w:lineRule="exact"/>
        <w:ind w:firstLine="640" w:firstLineChars="200"/>
        <w:rPr>
          <w:rFonts w:hint="eastAsia"/>
          <w:color w:val="auto"/>
          <w:sz w:val="32"/>
          <w:szCs w:val="32"/>
          <w:highlight w:val="none"/>
        </w:rPr>
      </w:pPr>
      <w:r>
        <w:rPr>
          <w:rFonts w:hint="eastAsia"/>
          <w:color w:val="auto"/>
          <w:sz w:val="32"/>
          <w:szCs w:val="32"/>
          <w:highlight w:val="none"/>
        </w:rPr>
        <w:t>4.管理制度健全性</w:t>
      </w:r>
    </w:p>
    <w:p>
      <w:pPr>
        <w:spacing w:line="600" w:lineRule="exact"/>
        <w:ind w:firstLine="640" w:firstLineChars="200"/>
        <w:rPr>
          <w:rFonts w:hint="eastAsia"/>
          <w:color w:val="auto"/>
          <w:sz w:val="32"/>
          <w:szCs w:val="32"/>
          <w:highlight w:val="none"/>
          <w:lang w:eastAsia="zh-CN"/>
        </w:rPr>
      </w:pPr>
      <w:r>
        <w:rPr>
          <w:rFonts w:hint="eastAsia"/>
          <w:color w:val="auto"/>
          <w:sz w:val="32"/>
          <w:szCs w:val="32"/>
          <w:highlight w:val="none"/>
          <w:lang w:val="en-US" w:eastAsia="zh-CN"/>
        </w:rPr>
        <w:t>我镇严格遵循财务相关管理制度，完善了《博湖县本布图镇财务管理办法》，制定了较为全面的工作管理制度，对工作的开展、组织、管理及资金管理方面做出了明确规范要求，同时符合《中华人民共和国会计法》《中华人民共和国预算法》等法律法规、财经制度的要求</w:t>
      </w:r>
      <w:r>
        <w:rPr>
          <w:rFonts w:hint="eastAsia"/>
          <w:color w:val="auto"/>
          <w:sz w:val="32"/>
          <w:szCs w:val="32"/>
          <w:highlight w:val="none"/>
          <w:lang w:eastAsia="zh-CN"/>
        </w:rPr>
        <w:t>。</w:t>
      </w:r>
    </w:p>
    <w:p>
      <w:pPr>
        <w:spacing w:line="600" w:lineRule="exact"/>
        <w:ind w:firstLine="640" w:firstLineChars="200"/>
        <w:rPr>
          <w:rFonts w:hint="eastAsia"/>
          <w:color w:val="auto"/>
          <w:sz w:val="32"/>
          <w:szCs w:val="32"/>
          <w:highlight w:val="none"/>
        </w:rPr>
      </w:pPr>
      <w:r>
        <w:rPr>
          <w:rFonts w:hint="eastAsia"/>
          <w:color w:val="auto"/>
          <w:sz w:val="32"/>
          <w:szCs w:val="32"/>
          <w:highlight w:val="none"/>
        </w:rPr>
        <w:t>5.制度执行有效性</w:t>
      </w:r>
    </w:p>
    <w:p>
      <w:pPr>
        <w:spacing w:line="600" w:lineRule="exact"/>
        <w:ind w:firstLine="640" w:firstLineChars="200"/>
        <w:rPr>
          <w:rFonts w:hint="eastAsia"/>
          <w:color w:val="auto"/>
          <w:sz w:val="32"/>
          <w:szCs w:val="32"/>
          <w:highlight w:val="yellow"/>
          <w:lang w:eastAsia="zh-CN"/>
        </w:rPr>
      </w:pPr>
      <w:r>
        <w:rPr>
          <w:rFonts w:hint="eastAsia"/>
          <w:color w:val="auto"/>
          <w:sz w:val="32"/>
          <w:szCs w:val="32"/>
          <w:highlight w:val="none"/>
          <w:lang w:val="en-US" w:eastAsia="zh-CN"/>
        </w:rPr>
        <w:t>我镇严格</w:t>
      </w:r>
      <w:r>
        <w:rPr>
          <w:rFonts w:hint="eastAsia"/>
          <w:color w:val="auto"/>
          <w:sz w:val="32"/>
          <w:szCs w:val="32"/>
          <w:highlight w:val="none"/>
          <w:lang w:eastAsia="zh-CN"/>
        </w:rPr>
        <w:t>遵守《</w:t>
      </w:r>
      <w:r>
        <w:rPr>
          <w:rFonts w:hint="eastAsia"/>
          <w:color w:val="auto"/>
          <w:sz w:val="32"/>
          <w:szCs w:val="32"/>
          <w:highlight w:val="none"/>
          <w:lang w:val="en-US" w:eastAsia="zh-CN"/>
        </w:rPr>
        <w:t>中华人民共和国预算法</w:t>
      </w:r>
      <w:r>
        <w:rPr>
          <w:rFonts w:hint="eastAsia"/>
          <w:color w:val="auto"/>
          <w:sz w:val="32"/>
          <w:szCs w:val="32"/>
          <w:highlight w:val="none"/>
          <w:lang w:eastAsia="zh-CN"/>
        </w:rPr>
        <w:t>》《</w:t>
      </w:r>
      <w:r>
        <w:rPr>
          <w:rFonts w:hint="eastAsia"/>
          <w:color w:val="auto"/>
          <w:sz w:val="32"/>
          <w:szCs w:val="32"/>
          <w:highlight w:val="none"/>
          <w:lang w:val="en-US" w:eastAsia="zh-CN"/>
        </w:rPr>
        <w:t>中华人民共和国会计法</w:t>
      </w:r>
      <w:r>
        <w:rPr>
          <w:rFonts w:hint="eastAsia"/>
          <w:color w:val="auto"/>
          <w:sz w:val="32"/>
          <w:szCs w:val="32"/>
          <w:highlight w:val="none"/>
          <w:lang w:eastAsia="zh-CN"/>
        </w:rPr>
        <w:t>》《农村综合改革转移支付管理办法》</w:t>
      </w:r>
      <w:r>
        <w:rPr>
          <w:rFonts w:hint="eastAsia"/>
          <w:color w:val="auto"/>
          <w:sz w:val="32"/>
          <w:szCs w:val="32"/>
          <w:highlight w:val="none"/>
          <w:lang w:val="en-US" w:eastAsia="zh-CN"/>
        </w:rPr>
        <w:t>等</w:t>
      </w:r>
      <w:r>
        <w:rPr>
          <w:rFonts w:hint="eastAsia"/>
          <w:color w:val="auto"/>
          <w:sz w:val="32"/>
          <w:szCs w:val="32"/>
          <w:highlight w:val="none"/>
          <w:lang w:eastAsia="zh-CN"/>
        </w:rPr>
        <w:t>相关法律法规和相关管理规定；项目调整及支出调整</w:t>
      </w:r>
      <w:r>
        <w:rPr>
          <w:rFonts w:hint="eastAsia"/>
          <w:color w:val="auto"/>
          <w:sz w:val="32"/>
          <w:szCs w:val="32"/>
          <w:highlight w:val="none"/>
          <w:lang w:val="en-US" w:eastAsia="zh-CN"/>
        </w:rPr>
        <w:t>都提供了完整的</w:t>
      </w:r>
      <w:r>
        <w:rPr>
          <w:rFonts w:hint="eastAsia"/>
          <w:color w:val="auto"/>
          <w:sz w:val="32"/>
          <w:szCs w:val="32"/>
          <w:highlight w:val="none"/>
          <w:lang w:eastAsia="zh-CN"/>
        </w:rPr>
        <w:t>手续；项目</w:t>
      </w:r>
      <w:r>
        <w:rPr>
          <w:rFonts w:hint="eastAsia"/>
          <w:color w:val="auto"/>
          <w:sz w:val="32"/>
          <w:szCs w:val="32"/>
          <w:highlight w:val="none"/>
          <w:lang w:val="en-US" w:eastAsia="zh-CN"/>
        </w:rPr>
        <w:t>工程总承包</w:t>
      </w:r>
      <w:r>
        <w:rPr>
          <w:rFonts w:hint="eastAsia"/>
          <w:color w:val="auto"/>
          <w:sz w:val="32"/>
          <w:szCs w:val="32"/>
          <w:highlight w:val="none"/>
          <w:lang w:eastAsia="zh-CN"/>
        </w:rPr>
        <w:t>合同、</w:t>
      </w:r>
      <w:r>
        <w:rPr>
          <w:rFonts w:hint="eastAsia"/>
          <w:color w:val="auto"/>
          <w:sz w:val="32"/>
          <w:szCs w:val="32"/>
          <w:highlight w:val="none"/>
          <w:lang w:val="en-US" w:eastAsia="zh-CN"/>
        </w:rPr>
        <w:t>支付资料</w:t>
      </w:r>
      <w:r>
        <w:rPr>
          <w:rFonts w:hint="eastAsia"/>
          <w:color w:val="auto"/>
          <w:sz w:val="32"/>
          <w:szCs w:val="32"/>
          <w:highlight w:val="none"/>
          <w:lang w:eastAsia="zh-CN"/>
        </w:rPr>
        <w:t>等资料齐全并及时归档；项目</w:t>
      </w:r>
      <w:r>
        <w:rPr>
          <w:rFonts w:hint="eastAsia"/>
          <w:color w:val="auto"/>
          <w:sz w:val="32"/>
          <w:szCs w:val="32"/>
          <w:highlight w:val="none"/>
          <w:lang w:val="en-US" w:eastAsia="zh-CN"/>
        </w:rPr>
        <w:t>由第三方新疆旭力建设工程有限公司承建，由中祥冠一建设集团有限公司进行监理，</w:t>
      </w:r>
      <w:r>
        <w:rPr>
          <w:rFonts w:hint="eastAsia"/>
          <w:color w:val="auto"/>
          <w:sz w:val="32"/>
          <w:szCs w:val="32"/>
          <w:highlight w:val="none"/>
          <w:lang w:eastAsia="zh-CN"/>
        </w:rPr>
        <w:t>实施的人员条件、场地设备、信息支撑等落实到位。</w:t>
      </w:r>
    </w:p>
    <w:p>
      <w:pPr>
        <w:spacing w:line="600" w:lineRule="exact"/>
        <w:ind w:firstLine="640" w:firstLineChars="200"/>
        <w:rPr>
          <w:rFonts w:hint="eastAsia"/>
          <w:sz w:val="32"/>
          <w:szCs w:val="32"/>
        </w:rPr>
      </w:pPr>
      <w:r>
        <w:rPr>
          <w:rFonts w:hint="eastAsia"/>
          <w:sz w:val="32"/>
          <w:szCs w:val="32"/>
        </w:rPr>
        <w:t>（三）项目产出情况。</w:t>
      </w:r>
    </w:p>
    <w:p>
      <w:pPr>
        <w:spacing w:line="600" w:lineRule="exact"/>
        <w:ind w:firstLine="640" w:firstLineChars="200"/>
        <w:rPr>
          <w:rFonts w:hint="eastAsia"/>
          <w:color w:val="auto"/>
          <w:sz w:val="32"/>
          <w:szCs w:val="32"/>
          <w:lang w:eastAsia="zh-CN"/>
        </w:rPr>
      </w:pPr>
      <w:r>
        <w:rPr>
          <w:rFonts w:hint="eastAsia"/>
          <w:color w:val="auto"/>
          <w:sz w:val="32"/>
          <w:szCs w:val="32"/>
          <w:lang w:eastAsia="zh-CN"/>
        </w:rPr>
        <w:t>1.数量指标：指标1：修建休闲凉棚面积，指标值：=165平方米，实际完成值165平方米，指标完成率</w:t>
      </w:r>
      <w:r>
        <w:rPr>
          <w:rFonts w:hint="eastAsia"/>
          <w:color w:val="auto"/>
          <w:sz w:val="32"/>
          <w:szCs w:val="32"/>
          <w:lang w:val="en-US" w:eastAsia="zh-CN"/>
        </w:rPr>
        <w:t>100</w:t>
      </w:r>
      <w:r>
        <w:rPr>
          <w:rFonts w:hint="eastAsia"/>
          <w:color w:val="auto"/>
          <w:sz w:val="32"/>
          <w:szCs w:val="32"/>
          <w:lang w:eastAsia="zh-CN"/>
        </w:rPr>
        <w:t>%；指标2：乡村环境整治改造数量，指标值：=1处，实际完成值1处，指标完成率</w:t>
      </w:r>
      <w:r>
        <w:rPr>
          <w:rFonts w:hint="eastAsia"/>
          <w:color w:val="auto"/>
          <w:sz w:val="32"/>
          <w:szCs w:val="32"/>
          <w:lang w:val="en-US" w:eastAsia="zh-CN"/>
        </w:rPr>
        <w:t>100</w:t>
      </w:r>
      <w:r>
        <w:rPr>
          <w:rFonts w:hint="eastAsia"/>
          <w:color w:val="auto"/>
          <w:sz w:val="32"/>
          <w:szCs w:val="32"/>
          <w:lang w:eastAsia="zh-CN"/>
        </w:rPr>
        <w:t>%；指标</w:t>
      </w:r>
      <w:r>
        <w:rPr>
          <w:rFonts w:hint="eastAsia"/>
          <w:color w:val="auto"/>
          <w:sz w:val="32"/>
          <w:szCs w:val="32"/>
          <w:lang w:val="en-US" w:eastAsia="zh-CN"/>
        </w:rPr>
        <w:t>3</w:t>
      </w:r>
      <w:r>
        <w:rPr>
          <w:rFonts w:hint="eastAsia"/>
          <w:color w:val="auto"/>
          <w:sz w:val="32"/>
          <w:szCs w:val="32"/>
          <w:lang w:eastAsia="zh-CN"/>
        </w:rPr>
        <w:t>：零星硬化美化整治面积，指标值：=2016平方米，实际完成值2016平方米，指标完成率</w:t>
      </w:r>
      <w:r>
        <w:rPr>
          <w:rFonts w:hint="eastAsia"/>
          <w:color w:val="auto"/>
          <w:sz w:val="32"/>
          <w:szCs w:val="32"/>
          <w:lang w:val="en-US" w:eastAsia="zh-CN"/>
        </w:rPr>
        <w:t>100</w:t>
      </w:r>
      <w:r>
        <w:rPr>
          <w:rFonts w:hint="eastAsia"/>
          <w:color w:val="auto"/>
          <w:sz w:val="32"/>
          <w:szCs w:val="32"/>
          <w:lang w:eastAsia="zh-CN"/>
        </w:rPr>
        <w:t>%。</w:t>
      </w:r>
    </w:p>
    <w:p>
      <w:pPr>
        <w:spacing w:line="600" w:lineRule="exact"/>
        <w:ind w:firstLine="640" w:firstLineChars="200"/>
        <w:rPr>
          <w:rFonts w:hint="eastAsia"/>
          <w:color w:val="auto"/>
          <w:sz w:val="32"/>
          <w:szCs w:val="32"/>
          <w:lang w:eastAsia="zh-CN"/>
        </w:rPr>
      </w:pPr>
      <w:r>
        <w:rPr>
          <w:rFonts w:hint="eastAsia"/>
          <w:color w:val="auto"/>
          <w:sz w:val="32"/>
          <w:szCs w:val="32"/>
          <w:lang w:eastAsia="zh-CN"/>
        </w:rPr>
        <w:t>2.质量指标：指标1：人居环境整治工程质量合格率，指标值：&gt;=95%，实际完成值</w:t>
      </w:r>
      <w:r>
        <w:rPr>
          <w:rFonts w:hint="eastAsia"/>
          <w:color w:val="auto"/>
          <w:sz w:val="32"/>
          <w:szCs w:val="32"/>
          <w:lang w:val="en-US" w:eastAsia="zh-CN"/>
        </w:rPr>
        <w:t>0</w:t>
      </w:r>
      <w:r>
        <w:rPr>
          <w:rFonts w:hint="eastAsia"/>
          <w:color w:val="auto"/>
          <w:sz w:val="32"/>
          <w:szCs w:val="32"/>
          <w:lang w:eastAsia="zh-CN"/>
        </w:rPr>
        <w:t>%，指标完成率</w:t>
      </w:r>
      <w:r>
        <w:rPr>
          <w:rFonts w:hint="eastAsia"/>
          <w:color w:val="auto"/>
          <w:sz w:val="32"/>
          <w:szCs w:val="32"/>
          <w:lang w:val="en-US" w:eastAsia="zh-CN"/>
        </w:rPr>
        <w:t>0</w:t>
      </w:r>
      <w:r>
        <w:rPr>
          <w:rFonts w:hint="eastAsia"/>
          <w:color w:val="auto"/>
          <w:sz w:val="32"/>
          <w:szCs w:val="32"/>
          <w:lang w:eastAsia="zh-CN"/>
        </w:rPr>
        <w:t>%。</w:t>
      </w:r>
    </w:p>
    <w:p>
      <w:pPr>
        <w:spacing w:line="600" w:lineRule="exact"/>
        <w:ind w:firstLine="640" w:firstLineChars="200"/>
        <w:rPr>
          <w:rFonts w:hint="eastAsia"/>
          <w:color w:val="auto"/>
          <w:sz w:val="32"/>
          <w:szCs w:val="32"/>
          <w:lang w:eastAsia="zh-CN"/>
        </w:rPr>
      </w:pPr>
      <w:r>
        <w:rPr>
          <w:rFonts w:hint="eastAsia"/>
          <w:color w:val="auto"/>
          <w:sz w:val="32"/>
          <w:szCs w:val="32"/>
          <w:lang w:eastAsia="zh-CN"/>
        </w:rPr>
        <w:t>3.时效指标：指标1：项目开工及时率，指标值：&gt;=95%，实际完成值</w:t>
      </w:r>
      <w:r>
        <w:rPr>
          <w:rFonts w:hint="eastAsia"/>
          <w:color w:val="auto"/>
          <w:sz w:val="32"/>
          <w:szCs w:val="32"/>
          <w:lang w:val="en-US" w:eastAsia="zh-CN"/>
        </w:rPr>
        <w:t>100</w:t>
      </w:r>
      <w:r>
        <w:rPr>
          <w:rFonts w:hint="eastAsia"/>
          <w:color w:val="auto"/>
          <w:sz w:val="32"/>
          <w:szCs w:val="32"/>
          <w:lang w:eastAsia="zh-CN"/>
        </w:rPr>
        <w:t>%，指标完成率10</w:t>
      </w:r>
      <w:r>
        <w:rPr>
          <w:rFonts w:hint="eastAsia"/>
          <w:color w:val="auto"/>
          <w:sz w:val="32"/>
          <w:szCs w:val="32"/>
          <w:lang w:val="en-US" w:eastAsia="zh-CN"/>
        </w:rPr>
        <w:t>5.26</w:t>
      </w:r>
      <w:r>
        <w:rPr>
          <w:rFonts w:hint="eastAsia"/>
          <w:color w:val="auto"/>
          <w:sz w:val="32"/>
          <w:szCs w:val="32"/>
          <w:lang w:eastAsia="zh-CN"/>
        </w:rPr>
        <w:t>%。</w:t>
      </w:r>
    </w:p>
    <w:p>
      <w:pPr>
        <w:spacing w:line="600" w:lineRule="exact"/>
        <w:ind w:firstLine="640" w:firstLineChars="200"/>
        <w:rPr>
          <w:rFonts w:hint="eastAsia"/>
          <w:color w:val="auto"/>
          <w:sz w:val="32"/>
          <w:szCs w:val="32"/>
          <w:lang w:eastAsia="zh-CN"/>
        </w:rPr>
      </w:pPr>
      <w:r>
        <w:rPr>
          <w:rFonts w:hint="eastAsia"/>
          <w:color w:val="auto"/>
          <w:sz w:val="32"/>
          <w:szCs w:val="32"/>
          <w:lang w:eastAsia="zh-CN"/>
        </w:rPr>
        <w:t>4.成本指标：指标1：修建休闲凉棚</w:t>
      </w:r>
      <w:r>
        <w:rPr>
          <w:rFonts w:hint="eastAsia"/>
          <w:color w:val="auto"/>
          <w:sz w:val="32"/>
          <w:szCs w:val="32"/>
          <w:lang w:val="en-US" w:eastAsia="zh-CN"/>
        </w:rPr>
        <w:t>成本</w:t>
      </w:r>
      <w:r>
        <w:rPr>
          <w:rFonts w:hint="eastAsia"/>
          <w:color w:val="auto"/>
          <w:sz w:val="32"/>
          <w:szCs w:val="32"/>
          <w:lang w:eastAsia="zh-CN"/>
        </w:rPr>
        <w:t>，指标值：&lt;=17.9万元，实际完成值17.9万元，指标完成率100%；指标2：乡村环境整治改造</w:t>
      </w:r>
      <w:r>
        <w:rPr>
          <w:rFonts w:hint="eastAsia"/>
          <w:color w:val="auto"/>
          <w:sz w:val="32"/>
          <w:szCs w:val="32"/>
          <w:lang w:val="en-US" w:eastAsia="zh-CN"/>
        </w:rPr>
        <w:t>成本</w:t>
      </w:r>
      <w:r>
        <w:rPr>
          <w:rFonts w:hint="eastAsia"/>
          <w:color w:val="auto"/>
          <w:sz w:val="32"/>
          <w:szCs w:val="32"/>
          <w:lang w:eastAsia="zh-CN"/>
        </w:rPr>
        <w:t>，指标值：&lt;=25.1万元，实际完成值25.1万元，指标完成率100%；指标3：零星硬化美化整治</w:t>
      </w:r>
      <w:r>
        <w:rPr>
          <w:rFonts w:hint="eastAsia"/>
          <w:color w:val="auto"/>
          <w:sz w:val="32"/>
          <w:szCs w:val="32"/>
          <w:lang w:val="en-US" w:eastAsia="zh-CN"/>
        </w:rPr>
        <w:t>成本</w:t>
      </w:r>
      <w:r>
        <w:rPr>
          <w:rFonts w:hint="eastAsia"/>
          <w:color w:val="auto"/>
          <w:sz w:val="32"/>
          <w:szCs w:val="32"/>
          <w:lang w:eastAsia="zh-CN"/>
        </w:rPr>
        <w:t>，指标值：&lt;=16.7万元，实际完成值16.7万元，指标完成率100%。</w:t>
      </w:r>
    </w:p>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（四）项目效益情况。</w:t>
      </w:r>
    </w:p>
    <w:p>
      <w:pPr>
        <w:spacing w:line="600" w:lineRule="exact"/>
        <w:ind w:firstLine="640" w:firstLineChars="200"/>
        <w:rPr>
          <w:rFonts w:hint="eastAsia"/>
          <w:color w:val="auto"/>
          <w:sz w:val="32"/>
          <w:szCs w:val="32"/>
          <w:lang w:eastAsia="zh-CN"/>
        </w:rPr>
      </w:pPr>
      <w:r>
        <w:rPr>
          <w:rFonts w:hint="eastAsia"/>
          <w:color w:val="auto"/>
          <w:sz w:val="32"/>
          <w:szCs w:val="32"/>
          <w:lang w:val="en-US" w:eastAsia="zh-CN"/>
        </w:rPr>
        <w:t>1</w:t>
      </w:r>
      <w:r>
        <w:rPr>
          <w:rFonts w:hint="eastAsia"/>
          <w:color w:val="auto"/>
          <w:sz w:val="32"/>
          <w:szCs w:val="32"/>
          <w:lang w:eastAsia="zh-CN"/>
        </w:rPr>
        <w:t>.社会效益指标：指标1：农村人居环境明显改善，指标值：有效改善，实际完成值</w:t>
      </w:r>
      <w:r>
        <w:rPr>
          <w:rFonts w:hint="eastAsia"/>
          <w:color w:val="auto"/>
          <w:sz w:val="32"/>
          <w:szCs w:val="32"/>
          <w:lang w:val="en-US" w:eastAsia="zh-CN"/>
        </w:rPr>
        <w:t>达成目标</w:t>
      </w:r>
      <w:r>
        <w:rPr>
          <w:rFonts w:hint="eastAsia"/>
          <w:color w:val="auto"/>
          <w:sz w:val="32"/>
          <w:szCs w:val="32"/>
          <w:lang w:eastAsia="zh-CN"/>
        </w:rPr>
        <w:t>，指标完成率100%。</w:t>
      </w:r>
    </w:p>
    <w:p>
      <w:pPr>
        <w:spacing w:line="600" w:lineRule="exact"/>
        <w:ind w:firstLine="640" w:firstLineChars="200"/>
        <w:rPr>
          <w:rFonts w:hint="eastAsia"/>
          <w:color w:val="auto"/>
          <w:sz w:val="32"/>
          <w:szCs w:val="32"/>
          <w:lang w:eastAsia="zh-CN"/>
        </w:rPr>
      </w:pPr>
      <w:r>
        <w:rPr>
          <w:rFonts w:hint="eastAsia"/>
          <w:color w:val="auto"/>
          <w:sz w:val="32"/>
          <w:szCs w:val="32"/>
          <w:lang w:val="en-US" w:eastAsia="zh-CN"/>
        </w:rPr>
        <w:t>2</w:t>
      </w:r>
      <w:r>
        <w:rPr>
          <w:rFonts w:hint="eastAsia"/>
          <w:color w:val="auto"/>
          <w:sz w:val="32"/>
          <w:szCs w:val="32"/>
          <w:lang w:eastAsia="zh-CN"/>
        </w:rPr>
        <w:t>.满意度指标：指标1：农村村民满意度，指标值：&gt;=95%，实际完成值</w:t>
      </w:r>
      <w:r>
        <w:rPr>
          <w:rFonts w:hint="eastAsia"/>
          <w:color w:val="auto"/>
          <w:sz w:val="32"/>
          <w:szCs w:val="32"/>
          <w:lang w:val="en-US" w:eastAsia="zh-CN"/>
        </w:rPr>
        <w:t>95.24</w:t>
      </w:r>
      <w:r>
        <w:rPr>
          <w:rFonts w:hint="eastAsia"/>
          <w:color w:val="auto"/>
          <w:sz w:val="32"/>
          <w:szCs w:val="32"/>
          <w:lang w:eastAsia="zh-CN"/>
        </w:rPr>
        <w:t>%，指标完成率</w:t>
      </w:r>
      <w:r>
        <w:rPr>
          <w:rFonts w:hint="eastAsia"/>
          <w:color w:val="auto"/>
          <w:sz w:val="32"/>
          <w:szCs w:val="32"/>
          <w:lang w:val="en-US" w:eastAsia="zh-CN"/>
        </w:rPr>
        <w:t>100.25</w:t>
      </w:r>
      <w:r>
        <w:rPr>
          <w:rFonts w:hint="eastAsia"/>
          <w:color w:val="auto"/>
          <w:sz w:val="32"/>
          <w:szCs w:val="32"/>
          <w:lang w:eastAsia="zh-CN"/>
        </w:rPr>
        <w:t>%。</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五、预算执行进度与绩效指标总体完成率偏差</w:t>
      </w:r>
    </w:p>
    <w:p>
      <w:pPr>
        <w:spacing w:line="600" w:lineRule="exact"/>
        <w:ind w:firstLine="640" w:firstLineChars="200"/>
        <w:rPr>
          <w:rFonts w:hint="default" w:ascii="黑体" w:hAnsi="黑体" w:eastAsia="黑体"/>
          <w:sz w:val="32"/>
          <w:szCs w:val="32"/>
          <w:lang w:val="en-US"/>
        </w:rPr>
      </w:pPr>
      <w:r>
        <w:rPr>
          <w:rFonts w:hint="eastAsia"/>
          <w:color w:val="auto"/>
          <w:sz w:val="32"/>
          <w:szCs w:val="32"/>
        </w:rPr>
        <w:t>2023年博湖县本布图镇再格森诺尔村美丽乡村建设试点项目</w:t>
      </w:r>
      <w:r>
        <w:rPr>
          <w:rFonts w:hint="eastAsia"/>
          <w:color w:val="auto"/>
          <w:sz w:val="32"/>
          <w:szCs w:val="32"/>
          <w:lang w:val="en-US" w:eastAsia="zh-CN"/>
        </w:rPr>
        <w:t>年初预算200万元，全年预算59.7万元，实际支出59.7万元，预算执行率为100%，项目绩效指标总体完成率</w:t>
      </w:r>
      <w:r>
        <w:rPr>
          <w:rFonts w:hint="eastAsia"/>
          <w:color w:val="auto"/>
          <w:sz w:val="32"/>
          <w:szCs w:val="32"/>
          <w:highlight w:val="none"/>
          <w:lang w:val="en-US" w:eastAsia="zh-CN"/>
        </w:rPr>
        <w:t>为90.55%，总</w:t>
      </w:r>
      <w:r>
        <w:rPr>
          <w:rFonts w:hint="eastAsia"/>
          <w:color w:val="auto"/>
          <w:sz w:val="32"/>
          <w:szCs w:val="32"/>
          <w:lang w:val="en-US" w:eastAsia="zh-CN"/>
        </w:rPr>
        <w:t>体</w:t>
      </w:r>
      <w:r>
        <w:rPr>
          <w:rFonts w:hint="eastAsia"/>
          <w:color w:val="auto"/>
          <w:sz w:val="32"/>
          <w:szCs w:val="32"/>
          <w:highlight w:val="none"/>
          <w:lang w:val="en-US" w:eastAsia="zh-CN"/>
        </w:rPr>
        <w:t>偏差率为9.45%，原因是项已完成工程建设，单位还未还未进行竣工验收，质量指标没有达成。下一步我们将督促项目施工方及监理等单位对项目进行竣工验收。</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、主要经验及做法、存在的问题及原因分析</w:t>
      </w:r>
    </w:p>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（一）主要经验及做法</w:t>
      </w:r>
    </w:p>
    <w:p>
      <w:pPr>
        <w:spacing w:line="600" w:lineRule="exact"/>
        <w:ind w:firstLine="960" w:firstLineChars="300"/>
        <w:rPr>
          <w:rFonts w:hint="eastAsia" w:eastAsia="仿宋_GB2312"/>
          <w:color w:val="auto"/>
          <w:sz w:val="32"/>
          <w:szCs w:val="32"/>
          <w:lang w:eastAsia="zh-CN"/>
        </w:rPr>
      </w:pPr>
      <w:r>
        <w:rPr>
          <w:rFonts w:hint="eastAsia"/>
          <w:color w:val="auto"/>
          <w:sz w:val="32"/>
          <w:szCs w:val="32"/>
          <w:lang w:val="en-US" w:eastAsia="zh-CN"/>
        </w:rPr>
        <w:t>这次自评让我更加清楚了整个项目实施过程，也明白了各个环节的重要性，</w:t>
      </w:r>
      <w:r>
        <w:rPr>
          <w:rFonts w:hint="eastAsia"/>
          <w:color w:val="auto"/>
          <w:sz w:val="32"/>
          <w:szCs w:val="32"/>
        </w:rPr>
        <w:t>在今后的工作中，我要更加严格的要求自我，主动地去工作，独立地处理一些事务，不断充实自我，干好自我的本职工作，提高业务水平和工作本事</w:t>
      </w:r>
      <w:r>
        <w:rPr>
          <w:rFonts w:hint="eastAsia"/>
          <w:color w:val="auto"/>
          <w:sz w:val="32"/>
          <w:szCs w:val="32"/>
          <w:lang w:eastAsia="zh-CN"/>
        </w:rPr>
        <w:t>。</w:t>
      </w:r>
    </w:p>
    <w:p>
      <w:pPr>
        <w:spacing w:line="600" w:lineRule="exact"/>
        <w:ind w:firstLine="640" w:firstLineChars="200"/>
        <w:rPr>
          <w:rFonts w:hint="eastAsia" w:ascii="方正楷体简体" w:eastAsia="方正楷体简体"/>
          <w:color w:val="auto"/>
          <w:sz w:val="32"/>
          <w:szCs w:val="32"/>
        </w:rPr>
      </w:pPr>
      <w:r>
        <w:rPr>
          <w:rFonts w:hint="eastAsia" w:ascii="方正楷体简体" w:eastAsia="方正楷体简体"/>
          <w:color w:val="auto"/>
          <w:sz w:val="32"/>
          <w:szCs w:val="32"/>
        </w:rPr>
        <w:t>（二）存在的问题及原因分析</w:t>
      </w:r>
    </w:p>
    <w:p>
      <w:pPr>
        <w:spacing w:line="600" w:lineRule="exact"/>
        <w:ind w:firstLine="640" w:firstLineChars="200"/>
        <w:rPr>
          <w:rFonts w:hint="default" w:eastAsia="仿宋_GB2312"/>
          <w:color w:val="auto"/>
          <w:sz w:val="32"/>
          <w:szCs w:val="32"/>
          <w:highlight w:val="none"/>
          <w:lang w:val="en-US" w:eastAsia="zh-CN"/>
        </w:rPr>
      </w:pPr>
      <w:r>
        <w:rPr>
          <w:rFonts w:hint="eastAsia"/>
          <w:color w:val="auto"/>
          <w:sz w:val="32"/>
          <w:szCs w:val="32"/>
          <w:highlight w:val="none"/>
          <w:lang w:val="en-US" w:eastAsia="zh-CN"/>
        </w:rPr>
        <w:t>关于项目绩效管理等方面的专业知识还比较欠缺，存在局限性，绩效管理人员还需要加强绩效管理相关方面的系统性学习，项目</w:t>
      </w:r>
      <w:r>
        <w:rPr>
          <w:rFonts w:hint="eastAsia"/>
          <w:color w:val="auto"/>
          <w:sz w:val="32"/>
          <w:szCs w:val="32"/>
          <w:highlight w:val="none"/>
        </w:rPr>
        <w:t>成本指标设置不精准，下一步精细化成本指标</w:t>
      </w:r>
      <w:r>
        <w:rPr>
          <w:rFonts w:hint="eastAsia"/>
          <w:color w:val="auto"/>
          <w:sz w:val="32"/>
          <w:szCs w:val="32"/>
          <w:highlight w:val="none"/>
          <w:lang w:eastAsia="zh-CN"/>
        </w:rPr>
        <w:t>，</w:t>
      </w:r>
      <w:r>
        <w:rPr>
          <w:rFonts w:hint="eastAsia"/>
          <w:color w:val="auto"/>
          <w:sz w:val="32"/>
          <w:szCs w:val="32"/>
          <w:highlight w:val="none"/>
          <w:lang w:val="en-US" w:eastAsia="zh-CN"/>
        </w:rPr>
        <w:t>细化阶段目标</w:t>
      </w:r>
      <w:r>
        <w:rPr>
          <w:rFonts w:hint="eastAsia"/>
          <w:color w:val="auto"/>
          <w:sz w:val="32"/>
          <w:szCs w:val="32"/>
          <w:highlight w:val="none"/>
          <w:lang w:eastAsia="zh-CN"/>
        </w:rPr>
        <w:t>。</w:t>
      </w:r>
    </w:p>
    <w:p>
      <w:pPr>
        <w:numPr>
          <w:ilvl w:val="0"/>
          <w:numId w:val="0"/>
        </w:numPr>
        <w:spacing w:line="60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lang w:val="en-US" w:eastAsia="zh-CN"/>
        </w:rPr>
        <w:t>七、</w:t>
      </w:r>
      <w:r>
        <w:rPr>
          <w:rFonts w:hint="eastAsia" w:ascii="黑体" w:hAnsi="黑体" w:eastAsia="黑体"/>
          <w:color w:val="auto"/>
          <w:sz w:val="32"/>
          <w:szCs w:val="32"/>
        </w:rPr>
        <w:t>有关建议</w:t>
      </w:r>
    </w:p>
    <w:p>
      <w:pPr>
        <w:spacing w:line="600" w:lineRule="exact"/>
        <w:ind w:firstLine="640" w:firstLineChars="200"/>
        <w:rPr>
          <w:rFonts w:hint="eastAsia"/>
          <w:color w:val="auto"/>
          <w:sz w:val="32"/>
          <w:szCs w:val="32"/>
          <w:highlight w:val="none"/>
          <w:lang w:val="en-US" w:eastAsia="zh-CN"/>
        </w:rPr>
      </w:pPr>
      <w:r>
        <w:rPr>
          <w:rFonts w:hint="eastAsia"/>
          <w:color w:val="auto"/>
          <w:sz w:val="32"/>
          <w:szCs w:val="32"/>
          <w:highlight w:val="none"/>
          <w:lang w:val="en-US" w:eastAsia="zh-CN"/>
        </w:rPr>
        <w:t>多进行绩效管理工作方面的系统性培训，进一步夯实绩效管理人员的业务基础，提高工作效率，扎实做好绩效管理工作。</w:t>
      </w:r>
    </w:p>
    <w:p>
      <w:pPr>
        <w:spacing w:line="60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lang w:val="en-US" w:eastAsia="zh-CN"/>
        </w:rPr>
        <w:t>八</w:t>
      </w:r>
      <w:r>
        <w:rPr>
          <w:rFonts w:hint="eastAsia" w:ascii="黑体" w:hAnsi="黑体" w:eastAsia="黑体"/>
          <w:color w:val="auto"/>
          <w:sz w:val="32"/>
          <w:szCs w:val="32"/>
        </w:rPr>
        <w:t>、其他需要说明的问题</w:t>
      </w:r>
    </w:p>
    <w:p>
      <w:pPr>
        <w:spacing w:line="600" w:lineRule="exact"/>
        <w:ind w:firstLine="640" w:firstLineChars="200"/>
        <w:rPr>
          <w:rFonts w:hint="eastAsia"/>
          <w:color w:val="auto"/>
          <w:sz w:val="32"/>
          <w:szCs w:val="32"/>
        </w:rPr>
      </w:pPr>
      <w:r>
        <w:rPr>
          <w:rFonts w:hint="eastAsia"/>
          <w:color w:val="auto"/>
          <w:sz w:val="32"/>
          <w:szCs w:val="32"/>
        </w:rPr>
        <w:t>无</w:t>
      </w:r>
    </w:p>
    <w:p>
      <w:pPr>
        <w:spacing w:line="600" w:lineRule="exact"/>
        <w:ind w:firstLine="640" w:firstLineChars="200"/>
        <w:rPr>
          <w:sz w:val="32"/>
          <w:szCs w:val="32"/>
        </w:rPr>
      </w:pPr>
    </w:p>
    <w:p>
      <w:pPr>
        <w:spacing w:line="600" w:lineRule="exact"/>
        <w:ind w:firstLine="640" w:firstLineChars="200"/>
        <w:rPr>
          <w:sz w:val="32"/>
          <w:szCs w:val="32"/>
        </w:rPr>
      </w:pPr>
    </w:p>
    <w:sectPr>
      <w:pgSz w:w="11906" w:h="16838"/>
      <w:pgMar w:top="1928" w:right="1531" w:bottom="1701" w:left="153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019446-D4D3-4105-9FF6-D6310CA48A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00000000" w:usb1="00000000" w:usb2="00000000" w:usb3="00000000" w:csb0="00000000" w:csb1="00000000"/>
  </w:font>
  <w:font w:name="等线">
    <w:panose1 w:val="02010600030101010101"/>
    <w:charset w:val="86"/>
    <w:family w:val="auto"/>
    <w:pitch w:val="default"/>
    <w:sig w:usb0="00000000" w:usb1="00000000" w:usb2="00000000" w:usb3="00000000" w:csb0="00000000" w:csb1="00000000"/>
  </w:font>
  <w:font w:name="等线">
    <w:panose1 w:val="02010600030101010101"/>
    <w:charset w:val="00"/>
    <w:family w:val="auto"/>
    <w:pitch w:val="default"/>
    <w:sig w:usb0="00000000" w:usb1="00000000" w:usb2="00000000" w:usb3="00000000" w:csb0="00000000" w:csb1="00000000"/>
    <w:embedRegular r:id="rId2" w:fontKey="{FC850B82-996F-4385-AAA6-908A936488EF}"/>
  </w:font>
  <w:font w:name="仿宋_GB2312">
    <w:panose1 w:val="02010609030101010101"/>
    <w:charset w:val="86"/>
    <w:family w:val="modern"/>
    <w:pitch w:val="default"/>
    <w:sig w:usb0="00000000" w:usb1="00000000" w:usb2="00000000" w:usb3="00000000" w:csb0="00000000" w:csb1="00000000"/>
    <w:embedRegular r:id="rId3" w:fontKey="{9DA69943-60CC-4D27-9EE6-9526DE0EB4D8}"/>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embedRegular r:id="rId4" w:fontKey="{9917C29D-D0DC-412B-874B-17FA801A4E03}"/>
  </w:font>
  <w:font w:name="方正楷体简体">
    <w:panose1 w:val="02000000000000000000"/>
    <w:charset w:val="86"/>
    <w:family w:val="script"/>
    <w:pitch w:val="default"/>
    <w:sig w:usb0="00000000" w:usb1="00000000" w:usb2="00000000" w:usb3="00000000" w:csb0="00000000" w:csb1="00000000"/>
    <w:embedRegular r:id="rId5" w:fontKey="{2F2B176E-83E7-40AA-99F8-78655CD4696C}"/>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81BB9"/>
    <w:multiLevelType w:val="singleLevel"/>
    <w:tmpl w:val="B3C81BB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YmUzYTI1MDMwZTlhNDJkMmYyMzA1N2U1MTljMGMifQ=="/>
  </w:docVars>
  <w:rsids>
    <w:rsidRoot w:val="007D49C5"/>
    <w:rsid w:val="000D63FA"/>
    <w:rsid w:val="00121139"/>
    <w:rsid w:val="00155351"/>
    <w:rsid w:val="003237BF"/>
    <w:rsid w:val="005B64E8"/>
    <w:rsid w:val="00614288"/>
    <w:rsid w:val="0070365B"/>
    <w:rsid w:val="007156A8"/>
    <w:rsid w:val="00792CFE"/>
    <w:rsid w:val="007D49C5"/>
    <w:rsid w:val="008175E0"/>
    <w:rsid w:val="008C631D"/>
    <w:rsid w:val="00A114ED"/>
    <w:rsid w:val="00B24331"/>
    <w:rsid w:val="00B5607A"/>
    <w:rsid w:val="00B6598D"/>
    <w:rsid w:val="00D5630F"/>
    <w:rsid w:val="00FE2219"/>
    <w:rsid w:val="01A87AFF"/>
    <w:rsid w:val="01EF088B"/>
    <w:rsid w:val="02070CCA"/>
    <w:rsid w:val="022278B2"/>
    <w:rsid w:val="02A644F0"/>
    <w:rsid w:val="03FB6C69"/>
    <w:rsid w:val="04333C0A"/>
    <w:rsid w:val="0465304E"/>
    <w:rsid w:val="047A765C"/>
    <w:rsid w:val="04E946B7"/>
    <w:rsid w:val="064E6EC7"/>
    <w:rsid w:val="06C13B3D"/>
    <w:rsid w:val="06F7755F"/>
    <w:rsid w:val="072D4D2F"/>
    <w:rsid w:val="07474E11"/>
    <w:rsid w:val="0796312C"/>
    <w:rsid w:val="079E79DA"/>
    <w:rsid w:val="07C76913"/>
    <w:rsid w:val="0802440D"/>
    <w:rsid w:val="0854453D"/>
    <w:rsid w:val="08730E67"/>
    <w:rsid w:val="088D00A9"/>
    <w:rsid w:val="08F0070A"/>
    <w:rsid w:val="093D1475"/>
    <w:rsid w:val="0A3B3C06"/>
    <w:rsid w:val="0A3E54A5"/>
    <w:rsid w:val="0A9137E3"/>
    <w:rsid w:val="0BC35C62"/>
    <w:rsid w:val="0CAB4505"/>
    <w:rsid w:val="0D225E8C"/>
    <w:rsid w:val="0D9A0C44"/>
    <w:rsid w:val="0DC52F4F"/>
    <w:rsid w:val="0DDF720F"/>
    <w:rsid w:val="0F1B4006"/>
    <w:rsid w:val="10142F30"/>
    <w:rsid w:val="105331C8"/>
    <w:rsid w:val="10A1053B"/>
    <w:rsid w:val="10B84498"/>
    <w:rsid w:val="11366ED6"/>
    <w:rsid w:val="11B64755"/>
    <w:rsid w:val="12096398"/>
    <w:rsid w:val="138C54D3"/>
    <w:rsid w:val="14522278"/>
    <w:rsid w:val="15217F3B"/>
    <w:rsid w:val="15782EA7"/>
    <w:rsid w:val="172E62E3"/>
    <w:rsid w:val="173143BF"/>
    <w:rsid w:val="178F7340"/>
    <w:rsid w:val="189A41EE"/>
    <w:rsid w:val="18A12BCE"/>
    <w:rsid w:val="18C80D5B"/>
    <w:rsid w:val="190B6E9A"/>
    <w:rsid w:val="19404D95"/>
    <w:rsid w:val="1959586D"/>
    <w:rsid w:val="19762565"/>
    <w:rsid w:val="19E6114A"/>
    <w:rsid w:val="1A9A6727"/>
    <w:rsid w:val="1B8A22F8"/>
    <w:rsid w:val="1BA809D0"/>
    <w:rsid w:val="1BC56B57"/>
    <w:rsid w:val="1C5E5533"/>
    <w:rsid w:val="1CE52489"/>
    <w:rsid w:val="1CE67A02"/>
    <w:rsid w:val="1E5F5CBE"/>
    <w:rsid w:val="1F460C2C"/>
    <w:rsid w:val="1F4849A4"/>
    <w:rsid w:val="203647FC"/>
    <w:rsid w:val="21627873"/>
    <w:rsid w:val="216F531E"/>
    <w:rsid w:val="21E4630D"/>
    <w:rsid w:val="2255003C"/>
    <w:rsid w:val="2268710B"/>
    <w:rsid w:val="22AA3280"/>
    <w:rsid w:val="241906BD"/>
    <w:rsid w:val="245C4FB1"/>
    <w:rsid w:val="24AD52A9"/>
    <w:rsid w:val="264439EB"/>
    <w:rsid w:val="2777409F"/>
    <w:rsid w:val="28C332ED"/>
    <w:rsid w:val="2A601EA4"/>
    <w:rsid w:val="2AB63109"/>
    <w:rsid w:val="2AF07C9E"/>
    <w:rsid w:val="2B683CD8"/>
    <w:rsid w:val="2CBE22DA"/>
    <w:rsid w:val="2CC45205"/>
    <w:rsid w:val="2D19172E"/>
    <w:rsid w:val="2D4542D1"/>
    <w:rsid w:val="2DE73F83"/>
    <w:rsid w:val="2EC4290F"/>
    <w:rsid w:val="2FED0C50"/>
    <w:rsid w:val="2FF769C3"/>
    <w:rsid w:val="316F6966"/>
    <w:rsid w:val="31E367AE"/>
    <w:rsid w:val="31F00A38"/>
    <w:rsid w:val="32127A3F"/>
    <w:rsid w:val="32146967"/>
    <w:rsid w:val="32713DBA"/>
    <w:rsid w:val="328A6499"/>
    <w:rsid w:val="336456CD"/>
    <w:rsid w:val="33707BCD"/>
    <w:rsid w:val="33E05DF0"/>
    <w:rsid w:val="34030A42"/>
    <w:rsid w:val="340879DB"/>
    <w:rsid w:val="347E631A"/>
    <w:rsid w:val="348C50A5"/>
    <w:rsid w:val="353B2654"/>
    <w:rsid w:val="358856A2"/>
    <w:rsid w:val="35B2271F"/>
    <w:rsid w:val="36B72533"/>
    <w:rsid w:val="36D05553"/>
    <w:rsid w:val="37A96709"/>
    <w:rsid w:val="37EA43F2"/>
    <w:rsid w:val="384C070C"/>
    <w:rsid w:val="3A2636DC"/>
    <w:rsid w:val="3AC97765"/>
    <w:rsid w:val="3B88395B"/>
    <w:rsid w:val="3BB70A8F"/>
    <w:rsid w:val="3BF41B69"/>
    <w:rsid w:val="3C1C08F2"/>
    <w:rsid w:val="3CD4741F"/>
    <w:rsid w:val="3CE77152"/>
    <w:rsid w:val="3D3E7E59"/>
    <w:rsid w:val="3D510A70"/>
    <w:rsid w:val="3D567E34"/>
    <w:rsid w:val="3DD1395F"/>
    <w:rsid w:val="3E6A376C"/>
    <w:rsid w:val="3EC84D62"/>
    <w:rsid w:val="3F1B30E3"/>
    <w:rsid w:val="3FE536F1"/>
    <w:rsid w:val="406A102A"/>
    <w:rsid w:val="40DA0D7C"/>
    <w:rsid w:val="41E73751"/>
    <w:rsid w:val="420473B2"/>
    <w:rsid w:val="42295B17"/>
    <w:rsid w:val="43686B13"/>
    <w:rsid w:val="439E42E3"/>
    <w:rsid w:val="43B6162D"/>
    <w:rsid w:val="43D40744"/>
    <w:rsid w:val="44727C49"/>
    <w:rsid w:val="4504461A"/>
    <w:rsid w:val="460074D7"/>
    <w:rsid w:val="462C207A"/>
    <w:rsid w:val="46C87FF5"/>
    <w:rsid w:val="4722581F"/>
    <w:rsid w:val="47C562E2"/>
    <w:rsid w:val="482B78C5"/>
    <w:rsid w:val="482E5A72"/>
    <w:rsid w:val="48396CD0"/>
    <w:rsid w:val="48482A6F"/>
    <w:rsid w:val="486E6BA6"/>
    <w:rsid w:val="48C253F6"/>
    <w:rsid w:val="493E459E"/>
    <w:rsid w:val="49CF0317"/>
    <w:rsid w:val="49EF2C47"/>
    <w:rsid w:val="4A4831FA"/>
    <w:rsid w:val="4AE42916"/>
    <w:rsid w:val="4B005883"/>
    <w:rsid w:val="4B3D2633"/>
    <w:rsid w:val="4B92297F"/>
    <w:rsid w:val="4BC900EF"/>
    <w:rsid w:val="4BED22AB"/>
    <w:rsid w:val="4D007DBC"/>
    <w:rsid w:val="4D1E2254"/>
    <w:rsid w:val="4DA22C22"/>
    <w:rsid w:val="4E1A7570"/>
    <w:rsid w:val="4E962614"/>
    <w:rsid w:val="50764A99"/>
    <w:rsid w:val="514209A3"/>
    <w:rsid w:val="514C35D0"/>
    <w:rsid w:val="51624BA2"/>
    <w:rsid w:val="527903F5"/>
    <w:rsid w:val="52ED3AD0"/>
    <w:rsid w:val="530E5BEC"/>
    <w:rsid w:val="535B5D4C"/>
    <w:rsid w:val="56796849"/>
    <w:rsid w:val="57802226"/>
    <w:rsid w:val="57E75E01"/>
    <w:rsid w:val="592A069B"/>
    <w:rsid w:val="5A1F38B3"/>
    <w:rsid w:val="5AFF2110"/>
    <w:rsid w:val="5B04316E"/>
    <w:rsid w:val="5BD7767D"/>
    <w:rsid w:val="5BF3746A"/>
    <w:rsid w:val="5CCB7A9F"/>
    <w:rsid w:val="5DA95371"/>
    <w:rsid w:val="5E06373A"/>
    <w:rsid w:val="5FBB7A33"/>
    <w:rsid w:val="60601E68"/>
    <w:rsid w:val="60B371C8"/>
    <w:rsid w:val="60CC2618"/>
    <w:rsid w:val="60D90D70"/>
    <w:rsid w:val="611F31B4"/>
    <w:rsid w:val="619D39D4"/>
    <w:rsid w:val="62377985"/>
    <w:rsid w:val="636724EC"/>
    <w:rsid w:val="638210D3"/>
    <w:rsid w:val="63DC6A36"/>
    <w:rsid w:val="648F5856"/>
    <w:rsid w:val="64C86FBA"/>
    <w:rsid w:val="64EC0EFA"/>
    <w:rsid w:val="65336B29"/>
    <w:rsid w:val="65DC64D0"/>
    <w:rsid w:val="660775F0"/>
    <w:rsid w:val="663F32AC"/>
    <w:rsid w:val="66834E5D"/>
    <w:rsid w:val="66A55805"/>
    <w:rsid w:val="68684D3C"/>
    <w:rsid w:val="69132EFA"/>
    <w:rsid w:val="695D5F23"/>
    <w:rsid w:val="69872FA0"/>
    <w:rsid w:val="69EC374B"/>
    <w:rsid w:val="6A892D47"/>
    <w:rsid w:val="6A9040D6"/>
    <w:rsid w:val="6AB75B07"/>
    <w:rsid w:val="6B3158B9"/>
    <w:rsid w:val="6BD83F86"/>
    <w:rsid w:val="6C7F08A6"/>
    <w:rsid w:val="6CCF1E61"/>
    <w:rsid w:val="6CDF30F3"/>
    <w:rsid w:val="6D7F2F44"/>
    <w:rsid w:val="6D8F4B19"/>
    <w:rsid w:val="6DBA24F0"/>
    <w:rsid w:val="6DF07092"/>
    <w:rsid w:val="6EE964AB"/>
    <w:rsid w:val="6F086931"/>
    <w:rsid w:val="6F0B4673"/>
    <w:rsid w:val="6F280D81"/>
    <w:rsid w:val="6F630067"/>
    <w:rsid w:val="6FEB756B"/>
    <w:rsid w:val="708E730A"/>
    <w:rsid w:val="70BD374B"/>
    <w:rsid w:val="728C7879"/>
    <w:rsid w:val="72F773E8"/>
    <w:rsid w:val="73155AC0"/>
    <w:rsid w:val="73685BF0"/>
    <w:rsid w:val="737C169B"/>
    <w:rsid w:val="738E13CF"/>
    <w:rsid w:val="740975A1"/>
    <w:rsid w:val="74474AB0"/>
    <w:rsid w:val="75760B39"/>
    <w:rsid w:val="75947170"/>
    <w:rsid w:val="759913C5"/>
    <w:rsid w:val="75CD2682"/>
    <w:rsid w:val="76402E54"/>
    <w:rsid w:val="7661452C"/>
    <w:rsid w:val="7911539E"/>
    <w:rsid w:val="79343D4A"/>
    <w:rsid w:val="798A2DD4"/>
    <w:rsid w:val="7A3B22B0"/>
    <w:rsid w:val="7A6B246A"/>
    <w:rsid w:val="7B7315D6"/>
    <w:rsid w:val="7BE2675B"/>
    <w:rsid w:val="7C975798"/>
    <w:rsid w:val="7D761851"/>
    <w:rsid w:val="7DEA7911"/>
    <w:rsid w:val="7E5547CC"/>
    <w:rsid w:val="7E611BB9"/>
    <w:rsid w:val="7EF377C6"/>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标题 1 Char"/>
    <w:basedOn w:val="9"/>
    <w:link w:val="2"/>
    <w:qFormat/>
    <w:uiPriority w:val="9"/>
    <w:rPr>
      <w:rFonts w:ascii="Times New Roman" w:hAnsi="Times New Roman" w:eastAsia="仿宋_GB2312" w:cs="Times New Roman"/>
      <w:b/>
      <w:bCs/>
      <w:kern w:val="44"/>
      <w:sz w:val="44"/>
      <w:szCs w:val="44"/>
    </w:rPr>
  </w:style>
  <w:style w:type="character" w:customStyle="1" w:styleId="12">
    <w:name w:val="标题 2 Char"/>
    <w:basedOn w:val="9"/>
    <w:link w:val="3"/>
    <w:qFormat/>
    <w:uiPriority w:val="9"/>
    <w:rPr>
      <w:rFonts w:asciiTheme="majorHAnsi" w:hAnsiTheme="majorHAnsi" w:eastAsiaTheme="majorEastAsia" w:cstheme="majorBidi"/>
      <w:b/>
      <w:bCs/>
      <w:sz w:val="32"/>
      <w:szCs w:val="32"/>
    </w:rPr>
  </w:style>
  <w:style w:type="paragraph" w:customStyle="1" w:styleId="1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4">
    <w:name w:val="页眉 Char"/>
    <w:basedOn w:val="9"/>
    <w:link w:val="5"/>
    <w:semiHidden/>
    <w:qFormat/>
    <w:uiPriority w:val="99"/>
    <w:rPr>
      <w:rFonts w:ascii="Times New Roman" w:hAnsi="Times New Roman" w:eastAsia="仿宋_GB2312" w:cs="Times New Roman"/>
      <w:sz w:val="18"/>
      <w:szCs w:val="18"/>
    </w:rPr>
  </w:style>
  <w:style w:type="character" w:customStyle="1" w:styleId="15">
    <w:name w:val="页脚 Char"/>
    <w:basedOn w:val="9"/>
    <w:link w:val="4"/>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5146</Words>
  <Characters>5355</Characters>
  <Lines>39</Lines>
  <Paragraphs>11</Paragraphs>
  <TotalTime>49</TotalTime>
  <ScaleCrop>false</ScaleCrop>
  <LinksUpToDate>false</LinksUpToDate>
  <CharactersWithSpaces>5366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2021-04-07T08:01:00Z</dcterms:created>
  <dc:creator>翘楚</dc:creator>
  <cp:lastModifiedBy>Administrator</cp:lastModifiedBy>
  <dcterms:modified xsi:type="dcterms:W3CDTF">2024-08-06T08:33:10Z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24C7DCF2FCC04652A73275B4F35E42AE</vt:lpwstr>
  </property>
</Properties>
</file>