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lang w:eastAsia="zh-CN"/>
        </w:rPr>
      </w:pPr>
    </w:p>
    <w:p/>
    <w:p>
      <w:pPr>
        <w:rPr>
          <w:rFonts w:hint="eastAsia" w:ascii="方正小标宋简体" w:hAnsi="方正小标宋简体" w:eastAsia="方正小标宋简体" w:cs="方正小标宋简体"/>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项目支出绩效评价报告</w:t>
      </w:r>
    </w:p>
    <w:p/>
    <w:p>
      <w:pPr>
        <w:jc w:val="center"/>
        <w:rPr>
          <w:rFonts w:hint="eastAsia" w:eastAsia="方正仿宋简体"/>
          <w:sz w:val="32"/>
          <w:szCs w:val="32"/>
        </w:rPr>
      </w:pPr>
      <w:r>
        <w:rPr>
          <w:rFonts w:hint="eastAsia" w:eastAsia="方正仿宋简体"/>
          <w:sz w:val="32"/>
          <w:szCs w:val="32"/>
        </w:rPr>
        <w:t>（202</w:t>
      </w:r>
      <w:r>
        <w:rPr>
          <w:rFonts w:hint="eastAsia" w:eastAsia="方正仿宋简体"/>
          <w:sz w:val="32"/>
          <w:szCs w:val="32"/>
          <w:lang w:val="en-US" w:eastAsia="zh-CN"/>
        </w:rPr>
        <w:t>3</w:t>
      </w:r>
      <w:r>
        <w:rPr>
          <w:rFonts w:hint="eastAsia" w:eastAsia="方正仿宋简体"/>
          <w:sz w:val="32"/>
          <w:szCs w:val="32"/>
        </w:rPr>
        <w:t>年度）</w:t>
      </w:r>
    </w:p>
    <w:p/>
    <w:p/>
    <w:p/>
    <w:p/>
    <w:p>
      <w:pPr>
        <w:rPr>
          <w:rFonts w:hint="eastAsia"/>
        </w:rPr>
      </w:pPr>
    </w:p>
    <w:p>
      <w:pPr>
        <w:rPr>
          <w:rFonts w:hint="eastAsia"/>
        </w:rPr>
      </w:pPr>
    </w:p>
    <w:p>
      <w:pPr>
        <w:rPr>
          <w:rFonts w:hint="eastAsia"/>
        </w:rPr>
      </w:pPr>
    </w:p>
    <w:p/>
    <w:p>
      <w:pPr>
        <w:rPr>
          <w:rFonts w:hint="eastAsia" w:eastAsia="方正仿宋简体"/>
          <w:sz w:val="32"/>
          <w:szCs w:val="32"/>
        </w:rPr>
      </w:pPr>
      <w:r>
        <w:rPr>
          <w:rFonts w:hint="eastAsia" w:eastAsia="方正仿宋简体"/>
          <w:b/>
          <w:sz w:val="32"/>
          <w:szCs w:val="32"/>
        </w:rPr>
        <w:t>项目名称</w:t>
      </w:r>
      <w:r>
        <w:rPr>
          <w:rFonts w:hint="eastAsia" w:eastAsia="方正仿宋简体"/>
          <w:sz w:val="32"/>
          <w:szCs w:val="32"/>
        </w:rPr>
        <w:t>：2023年城乡居民基本医疗保险县级财政补助经费</w:t>
      </w:r>
    </w:p>
    <w:p>
      <w:pPr>
        <w:rPr>
          <w:rFonts w:hint="eastAsia" w:eastAsia="方正仿宋简体"/>
          <w:sz w:val="32"/>
          <w:szCs w:val="32"/>
          <w:lang w:val="en-US" w:eastAsia="zh-CN"/>
        </w:rPr>
      </w:pPr>
      <w:r>
        <w:rPr>
          <w:rFonts w:hint="eastAsia" w:eastAsia="方正仿宋简体"/>
          <w:b/>
          <w:sz w:val="32"/>
          <w:szCs w:val="32"/>
        </w:rPr>
        <w:t>实施单位（公章）</w:t>
      </w:r>
      <w:r>
        <w:rPr>
          <w:rFonts w:hint="eastAsia" w:eastAsia="方正仿宋简体"/>
          <w:sz w:val="32"/>
          <w:szCs w:val="32"/>
        </w:rPr>
        <w:t>：</w:t>
      </w:r>
      <w:r>
        <w:rPr>
          <w:rFonts w:hint="eastAsia" w:eastAsia="方正仿宋简体"/>
          <w:sz w:val="32"/>
          <w:szCs w:val="32"/>
          <w:lang w:eastAsia="zh-CN"/>
        </w:rPr>
        <w:t>博湖县医疗保障局</w:t>
      </w:r>
    </w:p>
    <w:p>
      <w:pPr>
        <w:rPr>
          <w:rFonts w:hint="eastAsia" w:eastAsia="方正仿宋简体"/>
          <w:sz w:val="32"/>
          <w:szCs w:val="32"/>
        </w:rPr>
      </w:pPr>
      <w:r>
        <w:rPr>
          <w:rFonts w:hint="eastAsia" w:eastAsia="方正仿宋简体"/>
          <w:b/>
          <w:sz w:val="32"/>
          <w:szCs w:val="32"/>
        </w:rPr>
        <w:t>主管部门（公章）</w:t>
      </w:r>
      <w:r>
        <w:rPr>
          <w:rFonts w:hint="eastAsia" w:eastAsia="方正仿宋简体"/>
          <w:sz w:val="32"/>
          <w:szCs w:val="32"/>
        </w:rPr>
        <w:t>：</w:t>
      </w:r>
      <w:r>
        <w:rPr>
          <w:rFonts w:hint="eastAsia" w:eastAsia="方正仿宋简体"/>
          <w:sz w:val="32"/>
          <w:szCs w:val="32"/>
          <w:lang w:eastAsia="zh-CN"/>
        </w:rPr>
        <w:t>博湖县医疗保障局</w:t>
      </w:r>
    </w:p>
    <w:p>
      <w:pPr>
        <w:rPr>
          <w:rFonts w:hint="eastAsia" w:eastAsia="方正仿宋简体"/>
          <w:sz w:val="32"/>
          <w:szCs w:val="32"/>
          <w:lang w:eastAsia="zh-CN"/>
        </w:rPr>
      </w:pPr>
      <w:r>
        <w:rPr>
          <w:rFonts w:hint="eastAsia" w:eastAsia="方正仿宋简体"/>
          <w:b/>
          <w:sz w:val="32"/>
          <w:szCs w:val="32"/>
        </w:rPr>
        <w:t>项目负责人（签章）</w:t>
      </w:r>
      <w:r>
        <w:rPr>
          <w:rFonts w:hint="eastAsia" w:eastAsia="方正仿宋简体"/>
          <w:sz w:val="32"/>
          <w:szCs w:val="32"/>
        </w:rPr>
        <w:t>：</w:t>
      </w:r>
      <w:r>
        <w:rPr>
          <w:rFonts w:hint="eastAsia" w:eastAsia="方正仿宋简体"/>
          <w:sz w:val="32"/>
          <w:szCs w:val="32"/>
          <w:lang w:eastAsia="zh-CN"/>
        </w:rPr>
        <w:t>廖丽萍</w:t>
      </w:r>
    </w:p>
    <w:p>
      <w:pPr>
        <w:rPr>
          <w:rFonts w:hint="eastAsia"/>
        </w:rPr>
      </w:pPr>
      <w:r>
        <w:rPr>
          <w:rFonts w:hint="eastAsia" w:eastAsia="方正仿宋简体"/>
          <w:b/>
          <w:sz w:val="32"/>
          <w:szCs w:val="32"/>
        </w:rPr>
        <w:t>填报时间</w:t>
      </w:r>
      <w:r>
        <w:rPr>
          <w:rFonts w:hint="eastAsia"/>
        </w:rPr>
        <w:t>：202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7</w:t>
      </w:r>
      <w:r>
        <w:rPr>
          <w:rFonts w:hint="eastAsia"/>
        </w:rPr>
        <w:t>日</w:t>
      </w:r>
    </w:p>
    <w:p>
      <w:r>
        <w:t> </w:t>
      </w:r>
    </w:p>
    <w:p>
      <w:pPr>
        <w:rPr>
          <w:rFonts w:hint="eastAsia"/>
        </w:rPr>
      </w:pPr>
    </w:p>
    <w:p>
      <w:pPr>
        <w:rPr>
          <w:rFonts w:hint="eastAsia"/>
        </w:rPr>
      </w:pPr>
    </w:p>
    <w:p>
      <w:pPr>
        <w:rPr>
          <w:rFonts w:hint="eastAsia"/>
        </w:rPr>
      </w:pPr>
    </w:p>
    <w:p>
      <w:pPr>
        <w:rPr>
          <w:rFonts w:hint="eastAsia"/>
        </w:rPr>
      </w:pPr>
    </w:p>
    <w:p>
      <w:pPr>
        <w:jc w:val="center"/>
        <w:rPr>
          <w:rFonts w:hint="eastAsia" w:eastAsia="方正小标宋简体"/>
          <w:sz w:val="44"/>
          <w:szCs w:val="44"/>
        </w:rPr>
      </w:pPr>
      <w:r>
        <w:rPr>
          <w:rFonts w:hint="eastAsia" w:eastAsia="方正小标宋简体"/>
          <w:sz w:val="44"/>
          <w:szCs w:val="44"/>
        </w:rPr>
        <w:t>项目支出绩效评价报告</w:t>
      </w:r>
    </w:p>
    <w:p>
      <w:pPr>
        <w:ind w:firstLine="600" w:firstLineChars="200"/>
      </w:pPr>
    </w:p>
    <w:p>
      <w:pPr>
        <w:ind w:firstLine="640" w:firstLineChars="200"/>
        <w:rPr>
          <w:rFonts w:hint="eastAsia" w:eastAsia="黑体"/>
          <w:sz w:val="32"/>
          <w:szCs w:val="32"/>
        </w:rPr>
      </w:pPr>
      <w:r>
        <w:rPr>
          <w:rFonts w:hint="eastAsia" w:hAnsi="黑体" w:eastAsia="黑体"/>
          <w:sz w:val="32"/>
          <w:szCs w:val="32"/>
        </w:rPr>
        <w:t>一、基本情况</w:t>
      </w:r>
    </w:p>
    <w:p>
      <w:pPr>
        <w:spacing w:line="600" w:lineRule="exact"/>
        <w:ind w:firstLine="640" w:firstLineChars="200"/>
        <w:rPr>
          <w:rFonts w:hint="eastAsia" w:eastAsia="方正楷体简体"/>
          <w:sz w:val="32"/>
          <w:szCs w:val="32"/>
        </w:rPr>
      </w:pPr>
      <w:r>
        <w:rPr>
          <w:rFonts w:hint="eastAsia" w:eastAsia="方正楷体简体"/>
          <w:sz w:val="32"/>
          <w:szCs w:val="32"/>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rPr>
        <w:t>根据</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关于印发巴州城乡居民基本医疗保险实施办法（试行）的通知</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（巴政办发</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2017</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74号），</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关于做好2023年度城乡居民基本医疗保险集中参保缴费工作的通知</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（巴医保发</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2022</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31</w:t>
      </w:r>
      <w:r>
        <w:rPr>
          <w:rFonts w:hint="eastAsia" w:ascii="方正仿宋_GBK" w:hAnsi="方正仿宋_GBK" w:eastAsia="方正仿宋_GBK" w:cs="方正仿宋_GBK"/>
          <w:color w:val="auto"/>
          <w:sz w:val="31"/>
          <w:szCs w:val="31"/>
        </w:rPr>
        <w:t>号）文件要求，提高城乡居民医保和大病保险筹资标准，新增财政补助一半用于提高大病保险保障能力，财政要加大对深度贫困地区倾斜力度，确保基本医保待遇保障到位，对于贫困人口要做到应保尽保，充分发挥基本医保、大病保险、医疗救助三重保障功能，用好县级财政对城乡居民基本医疗保险基金，提升资金使用效益。</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2.主要内容及实施情况</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主要内容：为缴纳2023年城乡居民基本医疗保险的居民给予县级财政补助，补助覆盖率达到100%，保障城乡居民基本医疗待遇，减轻城乡居民患者就医经济负担。</w:t>
      </w:r>
    </w:p>
    <w:p>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）实施情况：</w:t>
      </w:r>
      <w:r>
        <w:rPr>
          <w:rFonts w:hint="eastAsia" w:eastAsia="方正仿宋_GBK" w:cs="Times New Roman"/>
          <w:sz w:val="32"/>
          <w:szCs w:val="32"/>
          <w:lang w:eastAsia="zh-CN"/>
        </w:rPr>
        <w:t>项目目前已完成实际设立的目标，项目在实施过程中严格按照目标设立的各阶段任务进行开展工作。</w:t>
      </w:r>
      <w:r>
        <w:rPr>
          <w:rFonts w:hint="default" w:ascii="Times New Roman" w:hAnsi="Times New Roman" w:eastAsia="方正仿宋_GBK" w:cs="Times New Roman"/>
          <w:color w:val="auto"/>
          <w:sz w:val="32"/>
          <w:szCs w:val="32"/>
        </w:rPr>
        <w:t>截至12月底，城乡居民基本医疗保险参保缴费人数35353人，已完成2023年1-12月的医疗保险待遇支付工作，保障了参保群众享受基本医疗待遇，及时减轻了城乡居民患者就医经济负担。</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3.资金投入和使用情况</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（1）资金投入情况：该项目年初预算数</w:t>
      </w:r>
      <w:r>
        <w:rPr>
          <w:rFonts w:hint="eastAsia" w:eastAsia="方正仿宋_GBK" w:cs="Times New Roman"/>
          <w:sz w:val="32"/>
          <w:szCs w:val="32"/>
          <w:lang w:val="en-US" w:eastAsia="zh-CN"/>
        </w:rPr>
        <w:t>660</w:t>
      </w:r>
      <w:r>
        <w:rPr>
          <w:rFonts w:hint="default" w:ascii="Times New Roman" w:hAnsi="Times New Roman" w:eastAsia="方正仿宋_GBK" w:cs="Times New Roman"/>
          <w:sz w:val="32"/>
          <w:szCs w:val="32"/>
        </w:rPr>
        <w:t>万元，全年预算数</w:t>
      </w:r>
      <w:r>
        <w:rPr>
          <w:rFonts w:hint="eastAsia" w:eastAsia="方正仿宋_GBK" w:cs="Times New Roman"/>
          <w:sz w:val="32"/>
          <w:szCs w:val="32"/>
          <w:lang w:val="en-US" w:eastAsia="zh-CN"/>
        </w:rPr>
        <w:t>668.4</w:t>
      </w:r>
      <w:r>
        <w:rPr>
          <w:rFonts w:hint="default" w:ascii="Times New Roman" w:hAnsi="Times New Roman" w:eastAsia="方正仿宋_GBK" w:cs="Times New Roman"/>
          <w:sz w:val="32"/>
          <w:szCs w:val="32"/>
        </w:rPr>
        <w:t>万元，实际总投入</w:t>
      </w:r>
      <w:r>
        <w:rPr>
          <w:rFonts w:hint="eastAsia" w:eastAsia="方正仿宋_GBK" w:cs="Times New Roman"/>
          <w:sz w:val="32"/>
          <w:szCs w:val="32"/>
          <w:lang w:val="en-US" w:eastAsia="zh-CN"/>
        </w:rPr>
        <w:t>668.4</w:t>
      </w:r>
      <w:r>
        <w:rPr>
          <w:rFonts w:hint="default" w:ascii="Times New Roman" w:hAnsi="Times New Roman" w:eastAsia="方正仿宋_GBK" w:cs="Times New Roman"/>
          <w:sz w:val="32"/>
          <w:szCs w:val="32"/>
        </w:rPr>
        <w:t>万元，该项目资金已全部落实到位，资金来源为</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县级配套资金</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）资金使用情况：该项目年初预算数</w:t>
      </w:r>
      <w:r>
        <w:rPr>
          <w:rFonts w:hint="eastAsia" w:eastAsia="方正仿宋_GBK" w:cs="Times New Roman"/>
          <w:sz w:val="32"/>
          <w:szCs w:val="32"/>
          <w:lang w:val="en-US" w:eastAsia="zh-CN"/>
        </w:rPr>
        <w:t>660</w:t>
      </w:r>
      <w:r>
        <w:rPr>
          <w:rFonts w:hint="default" w:ascii="Times New Roman" w:hAnsi="Times New Roman" w:eastAsia="方正仿宋_GBK" w:cs="Times New Roman"/>
          <w:sz w:val="32"/>
          <w:szCs w:val="32"/>
        </w:rPr>
        <w:t>万元，全年预算数</w:t>
      </w:r>
      <w:r>
        <w:rPr>
          <w:rFonts w:hint="eastAsia" w:eastAsia="方正仿宋_GBK" w:cs="Times New Roman"/>
          <w:sz w:val="32"/>
          <w:szCs w:val="32"/>
          <w:lang w:val="en-US" w:eastAsia="zh-CN"/>
        </w:rPr>
        <w:t>668.4</w:t>
      </w:r>
      <w:r>
        <w:rPr>
          <w:rFonts w:hint="default" w:ascii="Times New Roman" w:hAnsi="Times New Roman" w:eastAsia="方正仿宋_GBK" w:cs="Times New Roman"/>
          <w:sz w:val="32"/>
          <w:szCs w:val="32"/>
        </w:rPr>
        <w:t>万元，全年执行数</w:t>
      </w:r>
      <w:r>
        <w:rPr>
          <w:rFonts w:hint="eastAsia" w:eastAsia="方正仿宋_GBK" w:cs="Times New Roman"/>
          <w:sz w:val="32"/>
          <w:szCs w:val="32"/>
          <w:lang w:val="en-US" w:eastAsia="zh-CN"/>
        </w:rPr>
        <w:t>668.4</w:t>
      </w:r>
      <w:r>
        <w:rPr>
          <w:rFonts w:hint="default" w:ascii="Times New Roman" w:hAnsi="Times New Roman" w:eastAsia="方正仿宋_GBK" w:cs="Times New Roman"/>
          <w:sz w:val="32"/>
          <w:szCs w:val="32"/>
        </w:rPr>
        <w:t>万元，预算执行率为</w:t>
      </w:r>
      <w:r>
        <w:rPr>
          <w:rFonts w:hint="eastAsia" w:eastAsia="方正仿宋_GBK" w:cs="Times New Roman"/>
          <w:sz w:val="32"/>
          <w:szCs w:val="32"/>
          <w:lang w:val="en-US" w:eastAsia="zh-CN"/>
        </w:rPr>
        <w:t>100</w:t>
      </w:r>
      <w:r>
        <w:rPr>
          <w:rFonts w:hint="default" w:ascii="Times New Roman" w:hAnsi="Times New Roman" w:eastAsia="方正仿宋_GBK" w:cs="Times New Roman"/>
          <w:sz w:val="32"/>
          <w:szCs w:val="32"/>
        </w:rPr>
        <w:t>%，用于：</w:t>
      </w:r>
      <w:r>
        <w:rPr>
          <w:rFonts w:hint="eastAsia" w:eastAsia="方正仿宋_GBK" w:cs="Times New Roman"/>
          <w:sz w:val="32"/>
          <w:szCs w:val="32"/>
          <w:lang w:eastAsia="zh-CN"/>
        </w:rPr>
        <w:t>为缴纳</w:t>
      </w:r>
      <w:r>
        <w:rPr>
          <w:rFonts w:hint="default" w:ascii="Times New Roman" w:hAnsi="Times New Roman" w:eastAsia="方正仿宋_GBK" w:cs="Times New Roman"/>
          <w:sz w:val="32"/>
          <w:szCs w:val="32"/>
        </w:rPr>
        <w:t>2023年城乡居民基本医疗保险的居民</w:t>
      </w:r>
      <w:r>
        <w:rPr>
          <w:rFonts w:hint="eastAsia" w:eastAsia="方正仿宋_GBK" w:cs="Times New Roman"/>
          <w:sz w:val="32"/>
          <w:szCs w:val="32"/>
          <w:lang w:eastAsia="zh-CN"/>
        </w:rPr>
        <w:t>预计</w:t>
      </w:r>
      <w:r>
        <w:rPr>
          <w:rFonts w:hint="eastAsia" w:eastAsia="方正仿宋_GBK" w:cs="Times New Roman"/>
          <w:sz w:val="32"/>
          <w:szCs w:val="32"/>
          <w:lang w:val="en-US" w:eastAsia="zh-CN"/>
        </w:rPr>
        <w:t>36300人</w:t>
      </w:r>
      <w:r>
        <w:rPr>
          <w:rFonts w:hint="default" w:ascii="Times New Roman" w:hAnsi="Times New Roman" w:eastAsia="方正仿宋_GBK" w:cs="Times New Roman"/>
          <w:sz w:val="32"/>
          <w:szCs w:val="32"/>
        </w:rPr>
        <w:t>给予县级财政补助</w:t>
      </w:r>
      <w:r>
        <w:rPr>
          <w:rFonts w:hint="eastAsia" w:eastAsia="方正仿宋_GBK" w:cs="Times New Roman"/>
          <w:sz w:val="32"/>
          <w:szCs w:val="32"/>
          <w:lang w:eastAsia="zh-CN"/>
        </w:rPr>
        <w:t>平均成本</w:t>
      </w:r>
      <w:r>
        <w:rPr>
          <w:rFonts w:hint="eastAsia" w:eastAsia="方正仿宋_GBK" w:cs="Times New Roman"/>
          <w:sz w:val="32"/>
          <w:szCs w:val="32"/>
          <w:lang w:val="en-US" w:eastAsia="zh-CN"/>
        </w:rPr>
        <w:t>184.13元，共计补助668.4</w:t>
      </w:r>
      <w:r>
        <w:rPr>
          <w:rFonts w:hint="default" w:ascii="Times New Roman" w:hAnsi="Times New Roman" w:eastAsia="方正仿宋_GBK" w:cs="Times New Roman"/>
          <w:sz w:val="32"/>
          <w:szCs w:val="32"/>
        </w:rPr>
        <w:t>万元。</w:t>
      </w:r>
    </w:p>
    <w:p>
      <w:pPr>
        <w:spacing w:line="600" w:lineRule="exact"/>
        <w:ind w:firstLine="640" w:firstLineChars="200"/>
        <w:rPr>
          <w:rFonts w:hint="eastAsia" w:eastAsia="方正楷体简体"/>
          <w:sz w:val="32"/>
          <w:szCs w:val="32"/>
        </w:rPr>
      </w:pPr>
      <w:r>
        <w:rPr>
          <w:rFonts w:hint="eastAsia" w:eastAsia="方正楷体简体"/>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sz w:val="31"/>
          <w:szCs w:val="31"/>
        </w:rPr>
        <w:t>1.总体目标：</w:t>
      </w:r>
      <w:r>
        <w:rPr>
          <w:rFonts w:hint="default" w:ascii="Times New Roman" w:hAnsi="Times New Roman" w:eastAsia="方正仿宋_GBK" w:cs="Times New Roman"/>
          <w:color w:val="auto"/>
          <w:sz w:val="31"/>
          <w:szCs w:val="31"/>
        </w:rPr>
        <w:t>为缴纳城乡居民基本医疗保险的居民给予财政补助，补助覆盖率达到100%，保障城乡居民基本医疗待遇，减轻城乡居民患者就医经济负担。</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1"/>
          <w:szCs w:val="31"/>
        </w:rPr>
        <w:t>2.阶段性目标：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积极推进全民参保计划，</w:t>
      </w:r>
      <w:r>
        <w:rPr>
          <w:rFonts w:hint="default" w:ascii="Times New Roman" w:hAnsi="Times New Roman" w:eastAsia="方正仿宋_GBK" w:cs="Times New Roman"/>
          <w:sz w:val="32"/>
          <w:szCs w:val="32"/>
          <w:lang w:eastAsia="zh-CN"/>
        </w:rPr>
        <w:t>城乡</w:t>
      </w:r>
      <w:r>
        <w:rPr>
          <w:rFonts w:hint="default" w:ascii="Times New Roman" w:hAnsi="Times New Roman" w:eastAsia="方正仿宋_GBK" w:cs="Times New Roman"/>
          <w:sz w:val="32"/>
          <w:szCs w:val="32"/>
        </w:rPr>
        <w:t>居民医保参保人数保持稳定，确保20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城乡居民医保参保率稳定在9</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％以上，参保居民受益面进一步扩大，获得补偿更加便捷实惠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保证</w:t>
      </w:r>
      <w:r>
        <w:rPr>
          <w:rFonts w:hint="default" w:ascii="Times New Roman" w:hAnsi="Times New Roman" w:eastAsia="方正仿宋_GBK" w:cs="Times New Roman"/>
          <w:sz w:val="32"/>
          <w:szCs w:val="32"/>
          <w:lang w:eastAsia="zh-CN"/>
        </w:rPr>
        <w:t>博湖县城乡</w:t>
      </w:r>
      <w:r>
        <w:rPr>
          <w:rFonts w:hint="default" w:ascii="Times New Roman" w:hAnsi="Times New Roman" w:eastAsia="方正仿宋_GBK" w:cs="Times New Roman"/>
          <w:sz w:val="32"/>
          <w:szCs w:val="32"/>
        </w:rPr>
        <w:t>居民医疗</w:t>
      </w:r>
      <w:r>
        <w:rPr>
          <w:rFonts w:hint="default" w:ascii="Times New Roman" w:hAnsi="Times New Roman" w:eastAsia="方正仿宋_GBK" w:cs="Times New Roman"/>
          <w:sz w:val="32"/>
          <w:szCs w:val="32"/>
          <w:lang w:eastAsia="zh-CN"/>
        </w:rPr>
        <w:t>县级</w:t>
      </w:r>
      <w:r>
        <w:rPr>
          <w:rFonts w:hint="default" w:ascii="Times New Roman" w:hAnsi="Times New Roman" w:eastAsia="方正仿宋_GBK" w:cs="Times New Roman"/>
          <w:sz w:val="32"/>
          <w:szCs w:val="32"/>
        </w:rPr>
        <w:t>财政补助资金及时、足额到位，当年各级财政补助资金到位率达到100％</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eastAsia="方正仿宋_GBK" w:cs="Times New Roman"/>
          <w:sz w:val="32"/>
          <w:szCs w:val="32"/>
          <w:lang w:eastAsia="zh-CN"/>
        </w:rPr>
        <w:t>）确保城乡居民基本医疗保险人员的医疗待遇落实，基金支付重点向基层医疗机构倾斜，引导参保群众在基层医疗机构就医，促进分级诊疗。增强城乡居民医疗抵御疾病风险能力，提高健康水平，切实减轻城乡居民医疗负担，有效解决城乡居民因病致贫、因病返贫问题。</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二、绩效评价工作开展情况</w:t>
      </w:r>
    </w:p>
    <w:p>
      <w:pPr>
        <w:spacing w:line="600" w:lineRule="exact"/>
        <w:ind w:firstLine="640" w:firstLineChars="200"/>
        <w:rPr>
          <w:rFonts w:hint="eastAsia" w:eastAsia="方正楷体简体"/>
          <w:sz w:val="32"/>
          <w:szCs w:val="32"/>
        </w:rPr>
      </w:pPr>
      <w:r>
        <w:rPr>
          <w:rFonts w:hint="eastAsia" w:eastAsia="方正楷体简体"/>
          <w:sz w:val="32"/>
          <w:szCs w:val="32"/>
        </w:rPr>
        <w:t>（一）绩效评价目的、对象和范围。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1.绩效评价目的：</w:t>
      </w:r>
    </w:p>
    <w:p>
      <w:pPr>
        <w:spacing w:line="600" w:lineRule="exact"/>
        <w:ind w:firstLine="620" w:firstLineChars="200"/>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通过绩效评价，客观地评判项目的管理绩效，了解和掌握</w:t>
      </w:r>
      <w:r>
        <w:rPr>
          <w:rFonts w:hint="eastAsia" w:eastAsia="方正仿宋_GBK" w:cs="Times New Roman"/>
          <w:color w:val="auto"/>
          <w:sz w:val="31"/>
          <w:szCs w:val="31"/>
          <w:lang w:val="en-US" w:eastAsia="zh-CN"/>
        </w:rPr>
        <w:t>2023年城乡居民基本医疗保险县级财政补助经费</w:t>
      </w:r>
      <w:r>
        <w:rPr>
          <w:rFonts w:hint="default" w:ascii="Times New Roman" w:hAnsi="Times New Roman" w:eastAsia="方正仿宋_GBK" w:cs="Times New Roman"/>
          <w:color w:val="auto"/>
          <w:sz w:val="31"/>
          <w:szCs w:val="31"/>
        </w:rPr>
        <w:t>的具体情况，评价该项目资金安排的科学性、合理性、规范性和资金的使用成效，及时总结项目管理经验，完善项目管理办法，提高项目管理水平和资金使用效益。</w:t>
      </w:r>
      <w:r>
        <w:rPr>
          <w:rFonts w:hint="eastAsia" w:eastAsia="方正仿宋_GBK" w:cs="Times New Roman"/>
          <w:color w:val="auto"/>
          <w:sz w:val="31"/>
          <w:szCs w:val="31"/>
          <w:lang w:eastAsia="zh-CN"/>
        </w:rPr>
        <w:t>通过本次项目绩效评价来总结经验和教训，促进项目成果转化和应用，</w:t>
      </w:r>
      <w:r>
        <w:rPr>
          <w:rFonts w:hint="default" w:ascii="Times New Roman" w:hAnsi="Times New Roman" w:eastAsia="方正仿宋_GBK" w:cs="Times New Roman"/>
          <w:color w:val="auto"/>
          <w:sz w:val="31"/>
          <w:szCs w:val="31"/>
        </w:rPr>
        <w:t>促使我局根据绩效评价中发现的问题，认真加以整改，及时调整和完善单位的工作计划并加强项目绩效管理，</w:t>
      </w:r>
      <w:r>
        <w:rPr>
          <w:rFonts w:hint="eastAsia" w:eastAsia="方正仿宋_GBK" w:cs="Times New Roman"/>
          <w:color w:val="auto"/>
          <w:sz w:val="31"/>
          <w:szCs w:val="31"/>
          <w:lang w:eastAsia="zh-CN"/>
        </w:rPr>
        <w:t>为今后类似项目的长效管理，提供可行性参考建议，</w:t>
      </w:r>
      <w:r>
        <w:rPr>
          <w:rFonts w:hint="default" w:ascii="Times New Roman" w:hAnsi="Times New Roman" w:eastAsia="方正仿宋_GBK" w:cs="Times New Roman"/>
          <w:color w:val="auto"/>
          <w:sz w:val="31"/>
          <w:szCs w:val="31"/>
        </w:rPr>
        <w:t>同时为项目后续资金投入、分配和管理提供决策依据。</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2.绩效评价对象：</w:t>
      </w:r>
    </w:p>
    <w:p>
      <w:pPr>
        <w:spacing w:line="600" w:lineRule="exact"/>
        <w:ind w:firstLine="640" w:firstLineChars="200"/>
        <w:rPr>
          <w:rFonts w:hint="eastAsia"/>
          <w:color w:val="auto"/>
          <w:sz w:val="32"/>
          <w:szCs w:val="32"/>
        </w:rPr>
      </w:pPr>
      <w:r>
        <w:rPr>
          <w:rFonts w:hint="eastAsia" w:eastAsia="方正仿宋_GBK" w:cs="Times New Roman"/>
          <w:color w:val="auto"/>
          <w:sz w:val="32"/>
          <w:szCs w:val="32"/>
          <w:lang w:val="en-US" w:eastAsia="zh-CN"/>
        </w:rPr>
        <w:t>2023年城乡居民基本医疗保险县级财政补助经费</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3.绩效评价范围：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本次评价从项目决策（包括绩效目标、决策过程）、项目管理（包括项目资金、项目实施）、项目产出（包括项目产出数量、产出质量、产出时效和产出成本）项目效益四个维度进行</w:t>
      </w:r>
      <w:r>
        <w:rPr>
          <w:rFonts w:hint="eastAsia" w:eastAsia="方正仿宋_GBK" w:cs="Times New Roman"/>
          <w:color w:val="auto"/>
          <w:sz w:val="32"/>
          <w:szCs w:val="32"/>
          <w:lang w:val="en-US" w:eastAsia="zh-CN"/>
        </w:rPr>
        <w:t>2023年城乡居民基本医疗保险县级财政补助经费</w:t>
      </w:r>
      <w:r>
        <w:rPr>
          <w:rFonts w:hint="default" w:ascii="Times New Roman" w:hAnsi="Times New Roman" w:eastAsia="方正仿宋_GBK" w:cs="Times New Roman"/>
          <w:sz w:val="32"/>
          <w:szCs w:val="32"/>
        </w:rPr>
        <w:t>评价，评价核心为资金的支出完成情况和效果。</w:t>
      </w:r>
    </w:p>
    <w:p>
      <w:pPr>
        <w:spacing w:line="600" w:lineRule="exact"/>
        <w:ind w:firstLine="640" w:firstLineChars="200"/>
        <w:rPr>
          <w:rFonts w:hint="eastAsia" w:eastAsia="方正楷体简体"/>
          <w:sz w:val="32"/>
          <w:szCs w:val="32"/>
        </w:rPr>
      </w:pPr>
      <w:r>
        <w:rPr>
          <w:rFonts w:hint="eastAsia" w:eastAsia="方正楷体简体"/>
          <w:sz w:val="32"/>
          <w:szCs w:val="32"/>
        </w:rPr>
        <w:t>（二）绩效评价原则、评价指标体系、评价方法、评价标准等。</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1.绩效评价原则</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（1）科学公正。本次项目支出绩效评价运用科学合理的方法，按照规范的程序，对项目绩效进行客观、公正的反映。</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（2）统筹兼顾。本次项目支出绩效评价由本单位自主实施，即</w:t>
      </w:r>
      <w:r>
        <w:rPr>
          <w:rFonts w:hint="eastAsia" w:ascii="方正仿宋_GBK" w:hAnsi="方正仿宋_GBK" w:eastAsia="方正仿宋_GBK" w:cs="方正仿宋_GBK"/>
          <w:sz w:val="32"/>
          <w:szCs w:val="32"/>
        </w:rPr>
        <w:t>“谁支出、谁自评”</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（3）激励约束。本次项目支出绩效评价结果与预算安排、政策调整、改进管理实质性挂钩，体现奖优罚劣和激励相容导向，有效要安排、低效要压减、无效要问责。</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（4）公开透明。本次项目支出绩效评价结果已依法依规公开在</w:t>
      </w:r>
      <w:r>
        <w:rPr>
          <w:rFonts w:hint="eastAsia" w:eastAsia="方正仿宋_GBK" w:cs="Times New Roman"/>
          <w:sz w:val="32"/>
          <w:szCs w:val="32"/>
          <w:lang w:eastAsia="zh-CN"/>
        </w:rPr>
        <w:t>博湖县人民政府</w:t>
      </w:r>
      <w:r>
        <w:rPr>
          <w:rFonts w:hint="default" w:ascii="Times New Roman" w:hAnsi="Times New Roman" w:eastAsia="方正仿宋_GBK" w:cs="Times New Roman"/>
          <w:sz w:val="32"/>
          <w:szCs w:val="32"/>
        </w:rPr>
        <w:t>网站上，并自觉接受社会监督。</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2.评价指标体系（附表说明）</w:t>
      </w:r>
    </w:p>
    <w:p>
      <w:pPr>
        <w:rPr>
          <w:rFonts w:hint="eastAsia"/>
          <w:sz w:val="32"/>
          <w:szCs w:val="32"/>
        </w:rPr>
      </w:pPr>
      <w:r>
        <w:rPr>
          <w:rFonts w:hint="eastAsia"/>
          <w:sz w:val="32"/>
          <w:szCs w:val="32"/>
        </w:rPr>
        <w:br w:type="page"/>
      </w:r>
    </w:p>
    <w:p>
      <w:pPr>
        <w:spacing w:line="600" w:lineRule="exact"/>
        <w:ind w:firstLine="620" w:firstLineChars="200"/>
        <w:jc w:val="center"/>
        <w:rPr>
          <w:rFonts w:hint="eastAsia" w:ascii="方正仿宋_GBK" w:hAnsi="方正仿宋_GBK" w:eastAsia="方正仿宋_GBK" w:cs="方正仿宋_GBK"/>
          <w:sz w:val="31"/>
          <w:szCs w:val="31"/>
        </w:rPr>
      </w:pPr>
      <w:r>
        <w:rPr>
          <w:rFonts w:hint="default" w:ascii="Times New Roman" w:hAnsi="Times New Roman" w:eastAsia="方正仿宋_GBK" w:cs="Times New Roman"/>
          <w:sz w:val="31"/>
          <w:szCs w:val="31"/>
        </w:rPr>
        <w:t>2023年</w:t>
      </w:r>
      <w:r>
        <w:rPr>
          <w:rFonts w:hint="eastAsia" w:ascii="方正仿宋_GBK" w:hAnsi="方正仿宋_GBK" w:eastAsia="方正仿宋_GBK" w:cs="方正仿宋_GBK"/>
          <w:sz w:val="31"/>
          <w:szCs w:val="31"/>
        </w:rPr>
        <w:t>城乡居民基本医疗保险县级财政补助经费项目支出绩效评价指标体系</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354"/>
        <w:gridCol w:w="1722"/>
        <w:gridCol w:w="3567"/>
        <w:gridCol w:w="90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383" w:type="pct"/>
            <w:shd w:val="clear" w:color="auto" w:fill="BEBEBE" w:themeFill="background1" w:themeFillShade="BF"/>
            <w:vAlign w:val="center"/>
          </w:tcPr>
          <w:p>
            <w:pPr>
              <w:widowControl/>
              <w:spacing w:line="0" w:lineRule="atLeas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一级指标</w:t>
            </w:r>
          </w:p>
        </w:tc>
        <w:tc>
          <w:tcPr>
            <w:tcW w:w="749" w:type="pct"/>
            <w:shd w:val="clear" w:color="auto" w:fill="BEBEBE" w:themeFill="background1" w:themeFillShade="BF"/>
            <w:vAlign w:val="center"/>
          </w:tcPr>
          <w:p>
            <w:pPr>
              <w:widowControl/>
              <w:spacing w:line="0" w:lineRule="atLeas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二级指标</w:t>
            </w:r>
          </w:p>
        </w:tc>
        <w:tc>
          <w:tcPr>
            <w:tcW w:w="951" w:type="pct"/>
            <w:shd w:val="clear" w:color="auto" w:fill="BEBEBE" w:themeFill="background1" w:themeFillShade="BF"/>
            <w:vAlign w:val="center"/>
          </w:tcPr>
          <w:p>
            <w:pPr>
              <w:widowControl/>
              <w:spacing w:line="0" w:lineRule="atLeast"/>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三级指标</w:t>
            </w:r>
          </w:p>
        </w:tc>
        <w:tc>
          <w:tcPr>
            <w:tcW w:w="1970" w:type="pct"/>
            <w:shd w:val="clear" w:color="auto" w:fill="BEBEBE" w:themeFill="background1" w:themeFillShade="BF"/>
          </w:tcPr>
          <w:p>
            <w:pPr>
              <w:widowControl/>
              <w:spacing w:line="600" w:lineRule="auto"/>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指标解释</w:t>
            </w:r>
          </w:p>
        </w:tc>
        <w:tc>
          <w:tcPr>
            <w:tcW w:w="501" w:type="pct"/>
            <w:shd w:val="clear" w:color="auto" w:fill="BEBEBE" w:themeFill="background1" w:themeFillShade="BF"/>
          </w:tcPr>
          <w:p>
            <w:pPr>
              <w:widowControl/>
              <w:spacing w:line="600" w:lineRule="auto"/>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分值</w:t>
            </w:r>
          </w:p>
        </w:tc>
        <w:tc>
          <w:tcPr>
            <w:tcW w:w="443" w:type="pct"/>
            <w:shd w:val="clear" w:color="auto" w:fill="BEBEBE" w:themeFill="background1" w:themeFillShade="BF"/>
          </w:tcPr>
          <w:p>
            <w:pPr>
              <w:widowControl/>
              <w:spacing w:line="600" w:lineRule="auto"/>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83"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决策</w:t>
            </w:r>
          </w:p>
        </w:tc>
        <w:tc>
          <w:tcPr>
            <w:tcW w:w="749"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项目立项　</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立项依据</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充分性</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项目立项是否符合法律法规、相关政策、发展规划以及部门职责，用以反映和考核项目立项依据情况。</w:t>
            </w:r>
          </w:p>
        </w:tc>
        <w:tc>
          <w:tcPr>
            <w:tcW w:w="501"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c>
          <w:tcPr>
            <w:tcW w:w="443"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立项程序</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规范性</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项目申请、设立过程是否符合相关要求，用以反映和考核项目立项的规范情况</w:t>
            </w:r>
          </w:p>
        </w:tc>
        <w:tc>
          <w:tcPr>
            <w:tcW w:w="501"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2</w:t>
            </w:r>
          </w:p>
        </w:tc>
        <w:tc>
          <w:tcPr>
            <w:tcW w:w="443"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绩效目标</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绩效目标</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合理性</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项目所设定的绩效目标是否依据充分，是否符合客观实际，用以反映和考核项目绩效目标与项目实施的相符情况。</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c>
          <w:tcPr>
            <w:tcW w:w="443"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83"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749"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绩效指标</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明确性</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依据绩效目标设定的绩效指标是否清晰、细化、可衡量等，用以反映和考核项目绩效目标的明细化情况。</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c>
          <w:tcPr>
            <w:tcW w:w="443"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资金投入</w:t>
            </w:r>
          </w:p>
          <w:p>
            <w:pPr>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预算编制</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科学性</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项目预算编制是否经过科学论证、有明确标准，资金额度与年度目标是否相适应，用以反映和考核项目预算编制的科学性、合理性情况。</w:t>
            </w:r>
          </w:p>
        </w:tc>
        <w:tc>
          <w:tcPr>
            <w:tcW w:w="501"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c>
          <w:tcPr>
            <w:tcW w:w="443"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83"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749"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资金分配</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合理性</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项目预算资金分配是否有测算依据，与补助单位或地方实际是否相适应，用以反映和考核项目预算资金分配的科学性、合理性情况。</w:t>
            </w:r>
          </w:p>
        </w:tc>
        <w:tc>
          <w:tcPr>
            <w:tcW w:w="501"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2</w:t>
            </w:r>
          </w:p>
        </w:tc>
        <w:tc>
          <w:tcPr>
            <w:tcW w:w="443"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3" w:type="pct"/>
            <w:vMerge w:val="restart"/>
            <w:shd w:val="clear" w:color="auto" w:fill="FFFFFF"/>
            <w:vAlign w:val="center"/>
          </w:tcPr>
          <w:p>
            <w:pPr>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过程</w:t>
            </w:r>
          </w:p>
        </w:tc>
        <w:tc>
          <w:tcPr>
            <w:tcW w:w="749"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资金管理</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资金到位率</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实际到位资金与预算资金的比率，用以反映和考核资金落实情况对项目实施的总体保障程度。</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c>
          <w:tcPr>
            <w:tcW w:w="443"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预算执行率</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项目预算资金是否按照计划执行，用以反映或考核项目预算执行情况</w:t>
            </w:r>
          </w:p>
        </w:tc>
        <w:tc>
          <w:tcPr>
            <w:tcW w:w="501"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4</w:t>
            </w:r>
          </w:p>
        </w:tc>
        <w:tc>
          <w:tcPr>
            <w:tcW w:w="443"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资金管理</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资金使用</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合规性</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项目资金使用是否符合相关的财务管理制度规定，用以反映和考核项目资金的规范运行情况。</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c>
          <w:tcPr>
            <w:tcW w:w="443"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组织实施</w:t>
            </w:r>
          </w:p>
          <w:p>
            <w:pPr>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管理制度</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健全性</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项目实施单位的财务和业务管理制度是否健全，用以反映和考核财务和业务管理制度对项目顺利实施的保障情况。</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c>
          <w:tcPr>
            <w:tcW w:w="443"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83"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749"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制度执行</w:t>
            </w:r>
          </w:p>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有效性</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项目实施是否符合相关管理规定，用以反映和考核相关管理制度的有效执行情况。</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c>
          <w:tcPr>
            <w:tcW w:w="443"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83"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产出</w:t>
            </w:r>
          </w:p>
        </w:tc>
        <w:tc>
          <w:tcPr>
            <w:tcW w:w="749"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产出数量</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实际完成率</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项目实施的实际产出数与计划产出数的比率，用以反映和考核项目产出数量目标的实现程度。</w:t>
            </w:r>
          </w:p>
        </w:tc>
        <w:tc>
          <w:tcPr>
            <w:tcW w:w="501"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10</w:t>
            </w:r>
          </w:p>
        </w:tc>
        <w:tc>
          <w:tcPr>
            <w:tcW w:w="443"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83"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749"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产出质量</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质量达标率</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项目完成的质量达标产出数与实际产出数的比率，用以反映和考核项目产出质量目标的实现程度。</w:t>
            </w:r>
          </w:p>
        </w:tc>
        <w:tc>
          <w:tcPr>
            <w:tcW w:w="501"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10</w:t>
            </w:r>
          </w:p>
        </w:tc>
        <w:tc>
          <w:tcPr>
            <w:tcW w:w="443"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3" w:type="pct"/>
            <w:vMerge w:val="continue"/>
            <w:shd w:val="clear" w:color="auto" w:fill="FFFFFF"/>
            <w:vAlign w:val="center"/>
          </w:tcPr>
          <w:p>
            <w:pPr>
              <w:spacing w:line="0" w:lineRule="atLeast"/>
              <w:jc w:val="center"/>
              <w:rPr>
                <w:rFonts w:hint="eastAsia" w:ascii="仿宋_GB2312" w:hAnsi="仿宋_GB2312" w:eastAsia="仿宋_GB2312" w:cs="仿宋_GB2312"/>
                <w:color w:val="000000"/>
                <w:kern w:val="0"/>
                <w:sz w:val="22"/>
              </w:rPr>
            </w:pPr>
          </w:p>
        </w:tc>
        <w:tc>
          <w:tcPr>
            <w:tcW w:w="749" w:type="pct"/>
            <w:shd w:val="clear" w:color="auto" w:fill="FFFFFF"/>
            <w:vAlign w:val="center"/>
          </w:tcPr>
          <w:p>
            <w:pPr>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产出时效</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完成及时性</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项目实际完成时间与计划完成时间的比较，用以反映和考核项目产出时效目标的实现程度。</w:t>
            </w:r>
          </w:p>
        </w:tc>
        <w:tc>
          <w:tcPr>
            <w:tcW w:w="501"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c>
          <w:tcPr>
            <w:tcW w:w="443" w:type="pct"/>
            <w:shd w:val="clear" w:color="000000"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3"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749"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产出成本</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成本节约率</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完成项目计划工作目标的实际节约成本与计划成本的比率，用以反映和考核项目的成本节约程度。</w:t>
            </w:r>
          </w:p>
        </w:tc>
        <w:tc>
          <w:tcPr>
            <w:tcW w:w="501"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c>
          <w:tcPr>
            <w:tcW w:w="443" w:type="pct"/>
            <w:shd w:val="clear" w:color="auto" w:fill="FFFFFF"/>
          </w:tcPr>
          <w:p>
            <w:pPr>
              <w:spacing w:line="600" w:lineRule="auto"/>
              <w:jc w:val="center"/>
              <w:rPr>
                <w:rFonts w:hint="eastAsia" w:ascii="仿宋_GB2312" w:hAnsi="仿宋_GB2312" w:eastAsia="仿宋_GB2312" w:cs="仿宋_GB2312"/>
                <w:lang w:val="en-US" w:eastAsia="zh-CN"/>
              </w:rPr>
            </w:pPr>
            <w:r>
              <w:rPr>
                <w:rFonts w:hint="eastAsia" w:ascii="仿宋_GB2312" w:hAnsi="仿宋_GB2312" w:cs="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83"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效益　</w:t>
            </w:r>
          </w:p>
        </w:tc>
        <w:tc>
          <w:tcPr>
            <w:tcW w:w="749" w:type="pct"/>
            <w:vMerge w:val="restar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项目效益　</w:t>
            </w: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实施效益</w:t>
            </w:r>
          </w:p>
        </w:tc>
        <w:tc>
          <w:tcPr>
            <w:tcW w:w="1970"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项目实施所产生的效益。</w:t>
            </w:r>
          </w:p>
        </w:tc>
        <w:tc>
          <w:tcPr>
            <w:tcW w:w="501" w:type="pct"/>
            <w:shd w:val="clear" w:color="auto"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15</w:t>
            </w:r>
          </w:p>
        </w:tc>
        <w:tc>
          <w:tcPr>
            <w:tcW w:w="443" w:type="pct"/>
            <w:shd w:val="clear" w:color="auto"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83"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749" w:type="pct"/>
            <w:vMerge w:val="continue"/>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p>
        </w:tc>
        <w:tc>
          <w:tcPr>
            <w:tcW w:w="951" w:type="pct"/>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满意度</w:t>
            </w:r>
          </w:p>
        </w:tc>
        <w:tc>
          <w:tcPr>
            <w:tcW w:w="1970" w:type="pct"/>
            <w:shd w:val="clear" w:color="000000"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社会公众或服务对象对项目实施效果的满意程度。</w:t>
            </w:r>
          </w:p>
        </w:tc>
        <w:tc>
          <w:tcPr>
            <w:tcW w:w="501"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15</w:t>
            </w:r>
          </w:p>
        </w:tc>
        <w:tc>
          <w:tcPr>
            <w:tcW w:w="443" w:type="pct"/>
            <w:shd w:val="clear" w:color="000000" w:fill="FFFFFF"/>
          </w:tcPr>
          <w:p>
            <w:pPr>
              <w:spacing w:line="600" w:lineRule="auto"/>
              <w:jc w:val="center"/>
              <w:rPr>
                <w:rFonts w:hint="default" w:ascii="仿宋_GB2312" w:hAnsi="仿宋_GB2312" w:eastAsia="仿宋_GB2312" w:cs="仿宋_GB2312"/>
                <w:lang w:val="en-US" w:eastAsia="zh-CN"/>
              </w:rPr>
            </w:pPr>
            <w:r>
              <w:rPr>
                <w:rFonts w:hint="eastAsia" w:ascii="仿宋_GB2312" w:hAnsi="仿宋_GB2312" w:cs="仿宋_GB231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4" w:type="pct"/>
            <w:gridSpan w:val="3"/>
            <w:shd w:val="clear" w:color="auto" w:fill="FFFFFF"/>
            <w:vAlign w:val="center"/>
          </w:tcPr>
          <w:p>
            <w:pPr>
              <w:widowControl/>
              <w:spacing w:line="0" w:lineRule="atLeast"/>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b/>
                <w:bCs/>
                <w:color w:val="000000"/>
                <w:kern w:val="0"/>
                <w:sz w:val="22"/>
              </w:rPr>
              <w:t>总分</w:t>
            </w:r>
          </w:p>
        </w:tc>
        <w:tc>
          <w:tcPr>
            <w:tcW w:w="1970" w:type="pct"/>
            <w:shd w:val="clear" w:color="auto" w:fill="FFFFFF"/>
          </w:tcPr>
          <w:p>
            <w:pPr>
              <w:widowControl/>
              <w:spacing w:line="0" w:lineRule="atLeast"/>
              <w:jc w:val="center"/>
              <w:rPr>
                <w:rFonts w:hint="eastAsia" w:ascii="仿宋_GB2312" w:hAnsi="仿宋_GB2312" w:eastAsia="仿宋_GB2312" w:cs="仿宋_GB2312"/>
                <w:color w:val="000000"/>
                <w:kern w:val="0"/>
                <w:sz w:val="22"/>
              </w:rPr>
            </w:pPr>
          </w:p>
        </w:tc>
        <w:tc>
          <w:tcPr>
            <w:tcW w:w="501" w:type="pct"/>
            <w:shd w:val="clear" w:color="auto" w:fill="FFFFFF"/>
            <w:vAlign w:val="center"/>
          </w:tcPr>
          <w:p>
            <w:pPr>
              <w:widowControl/>
              <w:spacing w:line="0" w:lineRule="atLeast"/>
              <w:jc w:val="center"/>
              <w:rPr>
                <w:rFonts w:hint="default" w:ascii="仿宋_GB2312" w:hAnsi="仿宋_GB2312" w:eastAsia="仿宋_GB2312" w:cs="仿宋_GB2312"/>
                <w:color w:val="000000"/>
                <w:kern w:val="0"/>
                <w:sz w:val="22"/>
                <w:lang w:val="en-US" w:eastAsia="zh-CN"/>
              </w:rPr>
            </w:pPr>
            <w:r>
              <w:rPr>
                <w:rFonts w:hint="eastAsia" w:ascii="仿宋_GB2312" w:hAnsi="仿宋_GB2312" w:cs="仿宋_GB2312"/>
                <w:color w:val="000000"/>
                <w:kern w:val="0"/>
                <w:sz w:val="22"/>
                <w:lang w:val="en-US" w:eastAsia="zh-CN"/>
              </w:rPr>
              <w:t>100</w:t>
            </w:r>
          </w:p>
        </w:tc>
        <w:tc>
          <w:tcPr>
            <w:tcW w:w="443" w:type="pct"/>
            <w:shd w:val="clear" w:color="auto" w:fill="FFFFFF"/>
            <w:vAlign w:val="center"/>
          </w:tcPr>
          <w:p>
            <w:pPr>
              <w:widowControl/>
              <w:spacing w:line="0" w:lineRule="atLeast"/>
              <w:jc w:val="center"/>
              <w:rPr>
                <w:rFonts w:hint="default" w:ascii="仿宋_GB2312" w:hAnsi="仿宋_GB2312" w:eastAsia="仿宋_GB2312" w:cs="仿宋_GB2312"/>
                <w:color w:val="000000"/>
                <w:kern w:val="0"/>
                <w:sz w:val="22"/>
                <w:lang w:val="en-US" w:eastAsia="zh-CN"/>
              </w:rPr>
            </w:pPr>
            <w:r>
              <w:rPr>
                <w:rFonts w:hint="eastAsia" w:ascii="仿宋_GB2312" w:hAnsi="仿宋_GB2312" w:cs="仿宋_GB2312"/>
                <w:color w:val="000000"/>
                <w:kern w:val="0"/>
                <w:sz w:val="22"/>
                <w:lang w:val="en-US" w:eastAsia="zh-CN"/>
              </w:rPr>
              <w:t>98.74</w:t>
            </w:r>
          </w:p>
        </w:tc>
      </w:tr>
    </w:tbl>
    <w:p>
      <w:pPr>
        <w:rPr>
          <w:rFonts w:hint="eastAsia"/>
          <w:sz w:val="32"/>
          <w:szCs w:val="32"/>
        </w:rPr>
      </w:pPr>
      <w:r>
        <w:rPr>
          <w:rFonts w:hint="eastAsia"/>
          <w:sz w:val="32"/>
          <w:szCs w:val="32"/>
        </w:rPr>
        <w:br w:type="page"/>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3.评价方法</w:t>
      </w:r>
    </w:p>
    <w:p>
      <w:pPr>
        <w:spacing w:line="600" w:lineRule="exact"/>
        <w:ind w:firstLine="640" w:firstLineChars="200"/>
        <w:rPr>
          <w:rFonts w:hint="eastAsia" w:ascii="Times New Roman" w:hAnsi="Times New Roman" w:eastAsia="方正仿宋_GBK" w:cs="Times New Roman"/>
          <w:color w:val="auto"/>
          <w:sz w:val="32"/>
          <w:szCs w:val="32"/>
          <w:lang w:eastAsia="zh-CN"/>
        </w:rPr>
      </w:pPr>
      <w:r>
        <w:rPr>
          <w:rFonts w:hint="eastAsia" w:eastAsia="方正仿宋_GBK" w:cs="Times New Roman"/>
          <w:color w:val="auto"/>
          <w:sz w:val="32"/>
          <w:szCs w:val="32"/>
          <w:lang w:eastAsia="zh-CN"/>
        </w:rPr>
        <w:t>本次评价指标中，既有定性指标又有定量指标，各类指标因考核内容不同和客观标准不同存在一定的差异。因此核定具体指标时采用了不用方法，具体评价方法如下：</w:t>
      </w:r>
    </w:p>
    <w:p>
      <w:pPr>
        <w:numPr>
          <w:ilvl w:val="0"/>
          <w:numId w:val="1"/>
        </w:num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比较法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eastAsia="方正仿宋_GBK" w:cs="Times New Roman"/>
          <w:color w:val="auto"/>
          <w:sz w:val="32"/>
          <w:szCs w:val="32"/>
          <w:lang w:eastAsia="zh-CN"/>
        </w:rPr>
        <w:t>本项目比较法，主要是将参保缴费、医保待遇报销等工作任务的实际完成值与预期目标值进行比较；以及将项目实施后对保障城乡居民基本医疗待遇，减轻城乡居民患者就医经济负担，更好实现参保缴费和医保待遇报销等方面的情况与项目实施前的情况进行比较。</w:t>
      </w:r>
    </w:p>
    <w:p>
      <w:pPr>
        <w:numPr>
          <w:ilvl w:val="0"/>
          <w:numId w:val="1"/>
        </w:numPr>
        <w:spacing w:line="600"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公众评判法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本项目公众评判法主要是采取问卷调查的方式，主要是问卷调查广泛采纳服务对象的评价。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eastAsia="方正仿宋_GBK" w:cs="Times New Roman"/>
          <w:color w:val="auto"/>
          <w:sz w:val="32"/>
          <w:szCs w:val="32"/>
          <w:lang w:val="en-US" w:eastAsia="zh-CN"/>
        </w:rPr>
      </w:pPr>
      <w:r>
        <w:rPr>
          <w:rFonts w:hint="default" w:ascii="Times New Roman" w:hAnsi="Times New Roman" w:eastAsia="方正仿宋_GBK" w:cs="Times New Roman"/>
          <w:sz w:val="31"/>
          <w:szCs w:val="31"/>
        </w:rPr>
        <w:t>2023年</w:t>
      </w:r>
      <w:r>
        <w:rPr>
          <w:rFonts w:hint="eastAsia" w:ascii="方正仿宋_GBK" w:hAnsi="方正仿宋_GBK" w:eastAsia="方正仿宋_GBK" w:cs="方正仿宋_GBK"/>
          <w:sz w:val="31"/>
          <w:szCs w:val="31"/>
        </w:rPr>
        <w:t>城乡居民基本医疗保险县级财政补助经费项目</w:t>
      </w:r>
      <w:r>
        <w:rPr>
          <w:rFonts w:hint="eastAsia" w:ascii="方正仿宋_GBK" w:hAnsi="方正仿宋_GBK" w:eastAsia="方正仿宋_GBK" w:cs="方正仿宋_GBK"/>
          <w:sz w:val="31"/>
          <w:szCs w:val="31"/>
          <w:lang w:eastAsia="zh-CN"/>
        </w:rPr>
        <w:t>具有较为清晰的服务群体，且该项目绩效状况的优劣，很大程度上体现在运用信息系统建设开展参保缴费、待遇支付等线上业务办理方面，为此，与该项目评价的具体指标相对应，设计了调查问卷，按照一定比例，以现场询问、微信小程序等方式进行问卷调查，收集、分析所取得的样本数据，从而推断确定目标群体的满意度，进而评价满意度指标。</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4.评价标准</w:t>
      </w:r>
    </w:p>
    <w:p>
      <w:pPr>
        <w:spacing w:line="600" w:lineRule="exact"/>
        <w:ind w:firstLine="620" w:firstLineChars="200"/>
        <w:rPr>
          <w:rFonts w:hint="default" w:ascii="Times New Roman" w:hAnsi="Times New Roman" w:eastAsia="方正仿宋_GBK" w:cs="Times New Roman"/>
          <w:color w:val="auto"/>
          <w:sz w:val="32"/>
          <w:szCs w:val="32"/>
        </w:rPr>
      </w:pPr>
      <w:r>
        <w:rPr>
          <w:rFonts w:hint="eastAsia" w:eastAsia="方正仿宋_GBK" w:cs="Times New Roman"/>
          <w:color w:val="auto"/>
          <w:sz w:val="31"/>
          <w:szCs w:val="31"/>
          <w:lang w:eastAsia="zh-CN"/>
        </w:rPr>
        <w:t>结合</w:t>
      </w:r>
      <w:r>
        <w:rPr>
          <w:rFonts w:hint="default" w:ascii="Times New Roman" w:hAnsi="Times New Roman" w:eastAsia="方正仿宋_GBK" w:cs="Times New Roman"/>
          <w:color w:val="auto"/>
          <w:sz w:val="31"/>
          <w:szCs w:val="31"/>
        </w:rPr>
        <w:t>2023年城乡居民基本医疗保险县级财政补助经费项目</w:t>
      </w:r>
      <w:r>
        <w:rPr>
          <w:rFonts w:hint="eastAsia" w:eastAsia="方正仿宋_GBK" w:cs="Times New Roman"/>
          <w:color w:val="auto"/>
          <w:sz w:val="31"/>
          <w:szCs w:val="31"/>
          <w:lang w:eastAsia="zh-CN"/>
        </w:rPr>
        <w:t>特点，本次项目支出绩效自评采用计划</w:t>
      </w:r>
      <w:r>
        <w:rPr>
          <w:rFonts w:hint="default" w:ascii="Times New Roman" w:hAnsi="Times New Roman" w:eastAsia="方正仿宋_GBK" w:cs="Times New Roman"/>
          <w:color w:val="auto"/>
          <w:sz w:val="32"/>
          <w:szCs w:val="32"/>
        </w:rPr>
        <w:t>标准</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以预先制定的</w:t>
      </w:r>
      <w:r>
        <w:rPr>
          <w:rFonts w:hint="eastAsia" w:eastAsia="方正仿宋_GBK" w:cs="Times New Roman"/>
          <w:color w:val="auto"/>
          <w:sz w:val="32"/>
          <w:szCs w:val="32"/>
          <w:lang w:eastAsia="zh-CN"/>
        </w:rPr>
        <w:t>参保缴费、医保待遇报销等工作任务，实现保障城乡居民基本医疗待遇，减轻城乡居民患者就医经济负担等工作目标</w:t>
      </w:r>
      <w:r>
        <w:rPr>
          <w:rFonts w:hint="default" w:ascii="Times New Roman" w:hAnsi="Times New Roman" w:eastAsia="方正仿宋_GBK" w:cs="Times New Roman"/>
          <w:color w:val="auto"/>
          <w:sz w:val="32"/>
          <w:szCs w:val="32"/>
        </w:rPr>
        <w:t>。</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（三）绩效评价工作过程。</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1.前期准备：</w:t>
      </w:r>
    </w:p>
    <w:p>
      <w:pPr>
        <w:spacing w:line="60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2024年2月6日，</w:t>
      </w:r>
      <w:r>
        <w:rPr>
          <w:rFonts w:hint="eastAsia" w:eastAsia="方正仿宋_GBK" w:cs="Times New Roman"/>
          <w:sz w:val="32"/>
          <w:szCs w:val="32"/>
          <w:lang w:eastAsia="zh-CN"/>
        </w:rPr>
        <w:t>对城乡居民基本医疗保险县级财政补助资金项目实施的全过程，收集、整理项目实施的</w:t>
      </w:r>
      <w:r>
        <w:rPr>
          <w:rFonts w:hint="eastAsia" w:eastAsia="方正仿宋_GBK" w:cs="Times New Roman"/>
          <w:sz w:val="32"/>
          <w:szCs w:val="32"/>
          <w:lang w:val="en-US" w:eastAsia="zh-CN"/>
        </w:rPr>
        <w:t>2023年度城乡居民基本医疗保险缴费人数、各级财政补助标准等</w:t>
      </w:r>
      <w:r>
        <w:rPr>
          <w:rFonts w:hint="eastAsia" w:eastAsia="方正仿宋_GBK" w:cs="Times New Roman"/>
          <w:sz w:val="32"/>
          <w:szCs w:val="32"/>
          <w:lang w:eastAsia="zh-CN"/>
        </w:rPr>
        <w:t>相关资料，</w:t>
      </w:r>
      <w:r>
        <w:rPr>
          <w:rFonts w:hint="default" w:ascii="Times New Roman" w:hAnsi="Times New Roman" w:eastAsia="方正仿宋_GBK" w:cs="Times New Roman"/>
          <w:sz w:val="32"/>
          <w:szCs w:val="32"/>
        </w:rPr>
        <w:t>通过前期调研确定绩效评价对象和范围，确定了评价的目的、方法以及评价的原则，根据项目的内容和特征制定了评价指标体系及评价标准以及评价实施方案，修正并确定所需资料清单，最终确定绩效评价工作方案；</w:t>
      </w:r>
    </w:p>
    <w:p>
      <w:pPr>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组织实施：</w:t>
      </w:r>
    </w:p>
    <w:p>
      <w:pPr>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2024年3月29日，</w:t>
      </w:r>
      <w:r>
        <w:rPr>
          <w:rFonts w:hint="default" w:ascii="Times New Roman" w:hAnsi="Times New Roman" w:eastAsia="方正仿宋_GBK" w:cs="Times New Roman"/>
          <w:sz w:val="32"/>
          <w:szCs w:val="32"/>
        </w:rPr>
        <w:t>评价工作进入实施阶段，</w:t>
      </w:r>
      <w:r>
        <w:rPr>
          <w:rFonts w:hint="eastAsia"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收集</w:t>
      </w:r>
      <w:r>
        <w:rPr>
          <w:rFonts w:hint="eastAsia" w:ascii="Times New Roman" w:hAnsi="Times New Roman" w:eastAsia="方正仿宋_GBK" w:cs="Times New Roman"/>
          <w:sz w:val="32"/>
          <w:szCs w:val="32"/>
          <w:lang w:eastAsia="zh-CN"/>
        </w:rPr>
        <w:t>城乡居民基本医疗保险县级财政补助资金项目</w:t>
      </w:r>
      <w:r>
        <w:rPr>
          <w:rFonts w:hint="default" w:ascii="Times New Roman" w:hAnsi="Times New Roman" w:eastAsia="方正仿宋_GBK" w:cs="Times New Roman"/>
          <w:sz w:val="32"/>
          <w:szCs w:val="32"/>
        </w:rPr>
        <w:t>绩效评价相关数据资料，进行现场调研；并与项目实施负责人沟通，了解资金的内容、操作流程、管理机制、资金使用方向等情况，分析形成初步结论。</w:t>
      </w:r>
    </w:p>
    <w:p>
      <w:pPr>
        <w:spacing w:line="60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分析评价：</w:t>
      </w:r>
    </w:p>
    <w:p>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2024年4月1日，</w:t>
      </w:r>
      <w:r>
        <w:rPr>
          <w:rFonts w:hint="default" w:ascii="Times New Roman" w:hAnsi="Times New Roman" w:eastAsia="方正仿宋_GBK" w:cs="Times New Roman"/>
          <w:sz w:val="32"/>
          <w:szCs w:val="32"/>
        </w:rPr>
        <w:t>按照绩效评价的原则和规范，对取得的</w:t>
      </w:r>
      <w:r>
        <w:rPr>
          <w:rFonts w:hint="eastAsia" w:ascii="Times New Roman" w:hAnsi="Times New Roman" w:eastAsia="方正仿宋_GBK" w:cs="Times New Roman"/>
          <w:sz w:val="32"/>
          <w:szCs w:val="32"/>
          <w:lang w:eastAsia="zh-CN"/>
        </w:rPr>
        <w:t>城乡居民基本医疗保险县级补助资金相关</w:t>
      </w:r>
      <w:r>
        <w:rPr>
          <w:rFonts w:hint="default" w:ascii="Times New Roman" w:hAnsi="Times New Roman" w:eastAsia="方正仿宋_GBK" w:cs="Times New Roman"/>
          <w:sz w:val="32"/>
          <w:szCs w:val="32"/>
        </w:rPr>
        <w:t>资料进行审查核实，对采集的数据进行分析，按照绩效评价指标评分表逐项进行打分、分析，汇总各方评价结果，综合分析并形成评价结论。</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三、综合评价情况及评价结论</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（一）综合评价情况</w:t>
      </w:r>
    </w:p>
    <w:p>
      <w:pPr>
        <w:numPr>
          <w:ilvl w:val="0"/>
          <w:numId w:val="1"/>
        </w:numPr>
        <w:spacing w:line="600" w:lineRule="exact"/>
        <w:ind w:left="0" w:leftChars="0"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本项目严格按照科学公正、统筹兼顾、激励约束、公开透</w:t>
      </w:r>
      <w:r>
        <w:rPr>
          <w:rFonts w:hint="default" w:ascii="Times New Roman" w:hAnsi="Times New Roman" w:eastAsia="方正仿宋_GBK" w:cs="Times New Roman"/>
          <w:color w:val="auto"/>
          <w:sz w:val="31"/>
          <w:szCs w:val="31"/>
        </w:rPr>
        <w:t>明的绩效评价原则，采用</w:t>
      </w:r>
      <w:r>
        <w:rPr>
          <w:rFonts w:hint="default" w:ascii="Times New Roman" w:hAnsi="Times New Roman" w:eastAsia="方正仿宋_GBK" w:cs="Times New Roman"/>
          <w:color w:val="auto"/>
          <w:sz w:val="31"/>
          <w:szCs w:val="31"/>
          <w:lang w:eastAsia="zh-CN"/>
        </w:rPr>
        <w:t>比较法和</w:t>
      </w:r>
      <w:r>
        <w:rPr>
          <w:rFonts w:hint="default" w:ascii="Times New Roman" w:hAnsi="Times New Roman" w:eastAsia="方正仿宋_GBK" w:cs="Times New Roman"/>
          <w:color w:val="auto"/>
          <w:sz w:val="31"/>
          <w:szCs w:val="31"/>
        </w:rPr>
        <w:t>公众评判法，坚持</w:t>
      </w:r>
      <w:r>
        <w:rPr>
          <w:rFonts w:hint="default" w:ascii="Times New Roman" w:hAnsi="Times New Roman" w:eastAsia="方正仿宋_GBK" w:cs="Times New Roman"/>
          <w:sz w:val="31"/>
          <w:szCs w:val="31"/>
          <w:lang w:eastAsia="zh-CN"/>
        </w:rPr>
        <w:t>计</w:t>
      </w:r>
      <w:r>
        <w:rPr>
          <w:rFonts w:hint="default" w:ascii="Times New Roman" w:hAnsi="Times New Roman" w:eastAsia="方正仿宋_GBK" w:cs="Times New Roman"/>
          <w:color w:val="auto"/>
          <w:sz w:val="31"/>
          <w:szCs w:val="31"/>
          <w:lang w:eastAsia="zh-CN"/>
        </w:rPr>
        <w:t>划</w:t>
      </w:r>
      <w:r>
        <w:rPr>
          <w:rFonts w:hint="default" w:ascii="Times New Roman" w:hAnsi="Times New Roman" w:eastAsia="方正仿宋_GBK" w:cs="Times New Roman"/>
          <w:color w:val="auto"/>
          <w:sz w:val="31"/>
          <w:szCs w:val="31"/>
        </w:rPr>
        <w:t>标准对本项目的立项、绩效目标、资金投入、资金管理、组织实</w:t>
      </w:r>
      <w:r>
        <w:rPr>
          <w:rFonts w:hint="default" w:ascii="Times New Roman" w:hAnsi="Times New Roman" w:eastAsia="方正仿宋_GBK" w:cs="Times New Roman"/>
          <w:sz w:val="31"/>
          <w:szCs w:val="31"/>
        </w:rPr>
        <w:t>施、产出数量、产出质量、产出时效、产出成本、项目效益进行了综合评价。</w:t>
      </w:r>
    </w:p>
    <w:p>
      <w:pPr>
        <w:spacing w:line="600" w:lineRule="exact"/>
        <w:ind w:firstLine="620" w:firstLineChars="200"/>
        <w:jc w:val="center"/>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2023年城乡居民基本医疗保险县级财政补助经费</w:t>
      </w:r>
    </w:p>
    <w:p>
      <w:pPr>
        <w:spacing w:line="600" w:lineRule="exact"/>
        <w:ind w:firstLine="620" w:firstLineChars="200"/>
        <w:jc w:val="center"/>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项目评价得分情况</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2590"/>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068" w:type="pct"/>
            <w:shd w:val="clear" w:color="000000" w:fill="BEBEBE" w:themeFill="background1" w:themeFillShade="BF"/>
            <w:vAlign w:val="center"/>
          </w:tcPr>
          <w:p>
            <w:pPr>
              <w:jc w:val="center"/>
              <w:rPr>
                <w:b/>
                <w:bCs/>
                <w:color w:val="000000"/>
                <w:sz w:val="22"/>
              </w:rPr>
            </w:pPr>
            <w:r>
              <w:rPr>
                <w:rFonts w:hint="eastAsia"/>
                <w:b/>
                <w:bCs/>
                <w:color w:val="000000"/>
                <w:sz w:val="22"/>
              </w:rPr>
              <w:t>一级指标</w:t>
            </w:r>
          </w:p>
        </w:tc>
        <w:tc>
          <w:tcPr>
            <w:tcW w:w="1429" w:type="pct"/>
            <w:shd w:val="clear" w:color="000000" w:fill="BEBEBE" w:themeFill="background1" w:themeFillShade="BF"/>
            <w:vAlign w:val="center"/>
          </w:tcPr>
          <w:p>
            <w:pPr>
              <w:jc w:val="center"/>
              <w:rPr>
                <w:b/>
                <w:bCs/>
                <w:color w:val="000000"/>
                <w:sz w:val="22"/>
              </w:rPr>
            </w:pPr>
            <w:r>
              <w:rPr>
                <w:rFonts w:hint="eastAsia"/>
                <w:b/>
                <w:bCs/>
                <w:color w:val="000000"/>
                <w:sz w:val="22"/>
              </w:rPr>
              <w:t>权重分</w:t>
            </w:r>
          </w:p>
        </w:tc>
        <w:tc>
          <w:tcPr>
            <w:tcW w:w="1501" w:type="pct"/>
            <w:shd w:val="clear" w:color="000000" w:fill="BEBEBE" w:themeFill="background1" w:themeFillShade="BF"/>
            <w:vAlign w:val="center"/>
          </w:tcPr>
          <w:p>
            <w:pPr>
              <w:jc w:val="center"/>
              <w:rPr>
                <w:b/>
                <w:bCs/>
                <w:color w:val="000000"/>
                <w:sz w:val="22"/>
              </w:rPr>
            </w:pPr>
            <w:r>
              <w:rPr>
                <w:rFonts w:hint="eastAsia"/>
                <w:b/>
                <w:bCs/>
                <w:color w:val="000000"/>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8" w:type="pct"/>
            <w:shd w:val="clear" w:color="auto" w:fill="auto"/>
            <w:vAlign w:val="center"/>
          </w:tcPr>
          <w:p>
            <w:pPr>
              <w:jc w:val="center"/>
              <w:rPr>
                <w:color w:val="000000"/>
                <w:sz w:val="22"/>
              </w:rPr>
            </w:pPr>
            <w:r>
              <w:rPr>
                <w:rFonts w:hint="eastAsia"/>
                <w:color w:val="000000"/>
                <w:sz w:val="22"/>
              </w:rPr>
              <w:t>项目决策</w:t>
            </w:r>
          </w:p>
        </w:tc>
        <w:tc>
          <w:tcPr>
            <w:tcW w:w="1429"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20</w:t>
            </w:r>
          </w:p>
        </w:tc>
        <w:tc>
          <w:tcPr>
            <w:tcW w:w="1501"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8" w:type="pct"/>
            <w:shd w:val="clear" w:color="auto" w:fill="auto"/>
            <w:vAlign w:val="center"/>
          </w:tcPr>
          <w:p>
            <w:pPr>
              <w:jc w:val="center"/>
              <w:rPr>
                <w:color w:val="000000"/>
                <w:sz w:val="22"/>
              </w:rPr>
            </w:pPr>
            <w:r>
              <w:rPr>
                <w:rFonts w:hint="eastAsia"/>
                <w:color w:val="000000"/>
                <w:sz w:val="22"/>
              </w:rPr>
              <w:t>项目过程</w:t>
            </w:r>
          </w:p>
        </w:tc>
        <w:tc>
          <w:tcPr>
            <w:tcW w:w="1429"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20</w:t>
            </w:r>
          </w:p>
        </w:tc>
        <w:tc>
          <w:tcPr>
            <w:tcW w:w="1501"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8" w:type="pct"/>
            <w:shd w:val="clear" w:color="auto" w:fill="auto"/>
            <w:vAlign w:val="center"/>
          </w:tcPr>
          <w:p>
            <w:pPr>
              <w:jc w:val="center"/>
              <w:rPr>
                <w:color w:val="000000"/>
                <w:sz w:val="22"/>
              </w:rPr>
            </w:pPr>
            <w:r>
              <w:rPr>
                <w:rFonts w:hint="eastAsia"/>
                <w:color w:val="000000"/>
                <w:sz w:val="22"/>
              </w:rPr>
              <w:t>项目产出</w:t>
            </w:r>
          </w:p>
        </w:tc>
        <w:tc>
          <w:tcPr>
            <w:tcW w:w="1429"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30</w:t>
            </w:r>
          </w:p>
        </w:tc>
        <w:tc>
          <w:tcPr>
            <w:tcW w:w="1501"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8" w:type="pct"/>
            <w:shd w:val="clear" w:color="auto" w:fill="auto"/>
            <w:vAlign w:val="center"/>
          </w:tcPr>
          <w:p>
            <w:pPr>
              <w:jc w:val="center"/>
              <w:rPr>
                <w:color w:val="000000"/>
                <w:sz w:val="22"/>
              </w:rPr>
            </w:pPr>
            <w:r>
              <w:rPr>
                <w:rFonts w:hint="eastAsia"/>
                <w:color w:val="000000"/>
                <w:sz w:val="22"/>
              </w:rPr>
              <w:t>项目效益</w:t>
            </w:r>
          </w:p>
        </w:tc>
        <w:tc>
          <w:tcPr>
            <w:tcW w:w="1429"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30</w:t>
            </w:r>
          </w:p>
        </w:tc>
        <w:tc>
          <w:tcPr>
            <w:tcW w:w="1501" w:type="pct"/>
            <w:shd w:val="clear" w:color="auto" w:fill="auto"/>
            <w:vAlign w:val="center"/>
          </w:tcPr>
          <w:p>
            <w:pPr>
              <w:jc w:val="center"/>
              <w:rPr>
                <w:rFonts w:hint="default" w:eastAsia="仿宋_GB2312"/>
                <w:color w:val="000000"/>
                <w:sz w:val="22"/>
                <w:lang w:val="en-US" w:eastAsia="zh-CN"/>
              </w:rPr>
            </w:pPr>
            <w:r>
              <w:rPr>
                <w:rFonts w:hint="eastAsia"/>
                <w:color w:val="000000"/>
                <w:sz w:val="22"/>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68" w:type="pct"/>
            <w:shd w:val="clear" w:color="auto" w:fill="auto"/>
            <w:vAlign w:val="center"/>
          </w:tcPr>
          <w:p>
            <w:pPr>
              <w:jc w:val="center"/>
              <w:rPr>
                <w:rFonts w:cs="宋体"/>
                <w:b/>
                <w:bCs/>
                <w:color w:val="000000"/>
                <w:sz w:val="22"/>
              </w:rPr>
            </w:pPr>
            <w:r>
              <w:rPr>
                <w:rFonts w:hint="eastAsia" w:cs="宋体"/>
                <w:b/>
                <w:bCs/>
                <w:color w:val="000000"/>
                <w:sz w:val="22"/>
              </w:rPr>
              <w:t>合计</w:t>
            </w:r>
          </w:p>
        </w:tc>
        <w:tc>
          <w:tcPr>
            <w:tcW w:w="1429" w:type="pct"/>
            <w:shd w:val="clear" w:color="auto" w:fill="auto"/>
            <w:vAlign w:val="center"/>
          </w:tcPr>
          <w:p>
            <w:pPr>
              <w:jc w:val="center"/>
              <w:rPr>
                <w:rFonts w:hint="default" w:eastAsia="仿宋_GB2312"/>
                <w:b/>
                <w:bCs/>
                <w:color w:val="000000"/>
                <w:sz w:val="22"/>
                <w:lang w:val="en-US" w:eastAsia="zh-CN"/>
              </w:rPr>
            </w:pPr>
            <w:r>
              <w:rPr>
                <w:rFonts w:hint="eastAsia"/>
                <w:b/>
                <w:bCs/>
                <w:color w:val="000000"/>
                <w:sz w:val="22"/>
                <w:lang w:val="en-US" w:eastAsia="zh-CN"/>
              </w:rPr>
              <w:t>100</w:t>
            </w:r>
          </w:p>
        </w:tc>
        <w:tc>
          <w:tcPr>
            <w:tcW w:w="1501" w:type="pct"/>
            <w:shd w:val="clear" w:color="auto" w:fill="auto"/>
            <w:vAlign w:val="center"/>
          </w:tcPr>
          <w:p>
            <w:pPr>
              <w:jc w:val="center"/>
              <w:rPr>
                <w:rFonts w:hint="default" w:eastAsia="仿宋_GB2312"/>
                <w:b/>
                <w:bCs/>
                <w:color w:val="000000"/>
                <w:sz w:val="22"/>
                <w:lang w:val="en-US" w:eastAsia="zh-CN"/>
              </w:rPr>
            </w:pPr>
            <w:r>
              <w:rPr>
                <w:rFonts w:hint="eastAsia"/>
                <w:b/>
                <w:bCs/>
                <w:color w:val="000000"/>
                <w:sz w:val="22"/>
                <w:lang w:val="en-US" w:eastAsia="zh-CN"/>
              </w:rPr>
              <w:t>98.74</w:t>
            </w:r>
          </w:p>
        </w:tc>
      </w:tr>
    </w:tbl>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（二）评价结论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rPr>
        <w:t>本项目的项目决策、项目过程、项目产出、项目效益大部分达到了预期要求，得分为</w:t>
      </w:r>
      <w:r>
        <w:rPr>
          <w:rFonts w:hint="default" w:ascii="Times New Roman" w:hAnsi="Times New Roman" w:eastAsia="方正仿宋_GBK" w:cs="Times New Roman"/>
          <w:color w:val="auto"/>
          <w:sz w:val="31"/>
          <w:szCs w:val="31"/>
          <w:lang w:val="en-US" w:eastAsia="zh-CN"/>
        </w:rPr>
        <w:t>9</w:t>
      </w:r>
      <w:r>
        <w:rPr>
          <w:rFonts w:hint="eastAsia" w:eastAsia="方正仿宋_GBK" w:cs="Times New Roman"/>
          <w:color w:val="auto"/>
          <w:sz w:val="31"/>
          <w:szCs w:val="31"/>
          <w:lang w:val="en-US" w:eastAsia="zh-CN"/>
        </w:rPr>
        <w:t>8.74</w:t>
      </w:r>
      <w:r>
        <w:rPr>
          <w:rFonts w:hint="default" w:ascii="Times New Roman" w:hAnsi="Times New Roman" w:eastAsia="方正仿宋_GBK" w:cs="Times New Roman"/>
          <w:color w:val="auto"/>
          <w:sz w:val="31"/>
          <w:szCs w:val="31"/>
        </w:rPr>
        <w:t>分，评价等级为</w:t>
      </w:r>
      <w:r>
        <w:rPr>
          <w:rFonts w:hint="eastAsia" w:ascii="方正仿宋_GBK" w:hAnsi="方正仿宋_GBK" w:eastAsia="方正仿宋_GBK" w:cs="方正仿宋_GBK"/>
          <w:color w:val="auto"/>
          <w:sz w:val="31"/>
          <w:szCs w:val="31"/>
        </w:rPr>
        <w:t>“</w:t>
      </w:r>
      <w:r>
        <w:rPr>
          <w:rFonts w:hint="eastAsia" w:ascii="方正仿宋_GBK" w:hAnsi="方正仿宋_GBK" w:eastAsia="方正仿宋_GBK" w:cs="方正仿宋_GBK"/>
          <w:color w:val="auto"/>
          <w:sz w:val="31"/>
          <w:szCs w:val="31"/>
          <w:lang w:eastAsia="zh-CN"/>
        </w:rPr>
        <w:t>优</w:t>
      </w:r>
      <w:r>
        <w:rPr>
          <w:rFonts w:hint="eastAsia" w:ascii="方正仿宋_GBK" w:hAnsi="方正仿宋_GBK" w:eastAsia="方正仿宋_GBK" w:cs="方正仿宋_GBK"/>
          <w:color w:val="auto"/>
          <w:sz w:val="31"/>
          <w:szCs w:val="31"/>
        </w:rPr>
        <w:t>”</w:t>
      </w:r>
      <w:r>
        <w:rPr>
          <w:rFonts w:hint="default" w:ascii="Times New Roman" w:hAnsi="Times New Roman" w:eastAsia="方正仿宋_GBK" w:cs="Times New Roman"/>
          <w:color w:val="auto"/>
          <w:sz w:val="31"/>
          <w:szCs w:val="31"/>
        </w:rPr>
        <w:t>，项目大部分达成年度指标，</w:t>
      </w:r>
      <w:r>
        <w:rPr>
          <w:rFonts w:hint="eastAsia" w:eastAsia="方正仿宋_GBK" w:cs="Times New Roman"/>
          <w:color w:val="auto"/>
          <w:sz w:val="31"/>
          <w:szCs w:val="31"/>
          <w:lang w:eastAsia="zh-CN"/>
        </w:rPr>
        <w:t>项目决策指标未达成指标的原因是项目绩效工作人员对于项目绩效目标设定的绩效指标不够细化、目标不够清晰；产出数量</w:t>
      </w:r>
      <w:r>
        <w:rPr>
          <w:rFonts w:hint="default" w:ascii="Times New Roman" w:hAnsi="Times New Roman" w:eastAsia="方正仿宋_GBK" w:cs="Times New Roman"/>
          <w:color w:val="auto"/>
          <w:sz w:val="31"/>
          <w:szCs w:val="31"/>
        </w:rPr>
        <w:t>指标未达成年度指标的原因是</w:t>
      </w:r>
      <w:r>
        <w:rPr>
          <w:rFonts w:hint="default" w:ascii="Times New Roman" w:hAnsi="Times New Roman" w:eastAsia="方正仿宋_GBK" w:cs="Times New Roman"/>
          <w:color w:val="auto"/>
          <w:sz w:val="31"/>
          <w:szCs w:val="31"/>
          <w:lang w:eastAsia="zh-CN"/>
        </w:rPr>
        <w:t>本年城乡居民参保人数较往年有所下降，主要原因就是外出务工人员增加，城乡居民基本医疗保险转职工医疗保险人数较往年也有所增加。</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四、绩效评价指标分析</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（一）项目决策情况。</w:t>
      </w:r>
    </w:p>
    <w:p>
      <w:pPr>
        <w:spacing w:line="60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1.立项依据充分性</w:t>
      </w:r>
    </w:p>
    <w:p>
      <w:pPr>
        <w:spacing w:line="600" w:lineRule="exact"/>
        <w:ind w:firstLine="620" w:firstLineChars="200"/>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lang w:eastAsia="zh-CN"/>
        </w:rPr>
        <w:t>该项目立项</w:t>
      </w:r>
      <w:r>
        <w:rPr>
          <w:rFonts w:hint="default" w:ascii="Times New Roman" w:hAnsi="Times New Roman" w:eastAsia="方正仿宋_GBK" w:cs="Times New Roman"/>
          <w:color w:val="auto"/>
          <w:sz w:val="31"/>
          <w:szCs w:val="31"/>
        </w:rPr>
        <w:t>符合</w:t>
      </w:r>
      <w:r>
        <w:rPr>
          <w:rFonts w:hint="eastAsia" w:eastAsia="方正仿宋_GBK" w:cs="Times New Roman"/>
          <w:color w:val="auto"/>
          <w:sz w:val="31"/>
          <w:szCs w:val="31"/>
          <w:lang w:eastAsia="zh-CN"/>
        </w:rPr>
        <w:t>《中华人民共和国社会保险法》中第三章中的各项条例及城乡居民基本医疗保险财政补助</w:t>
      </w:r>
      <w:r>
        <w:rPr>
          <w:rFonts w:hint="default" w:ascii="Times New Roman" w:hAnsi="Times New Roman" w:eastAsia="方正仿宋_GBK" w:cs="Times New Roman"/>
          <w:color w:val="auto"/>
          <w:sz w:val="31"/>
          <w:szCs w:val="31"/>
        </w:rPr>
        <w:t>政策；符合</w:t>
      </w:r>
      <w:r>
        <w:rPr>
          <w:rFonts w:hint="eastAsia" w:eastAsia="方正仿宋_GBK" w:cs="Times New Roman"/>
          <w:color w:val="auto"/>
          <w:sz w:val="31"/>
          <w:szCs w:val="31"/>
          <w:lang w:eastAsia="zh-CN"/>
        </w:rPr>
        <w:t>基本医疗保险</w:t>
      </w:r>
      <w:r>
        <w:rPr>
          <w:rFonts w:hint="default" w:ascii="Times New Roman" w:hAnsi="Times New Roman" w:eastAsia="方正仿宋_GBK" w:cs="Times New Roman"/>
          <w:color w:val="auto"/>
          <w:sz w:val="31"/>
          <w:szCs w:val="31"/>
        </w:rPr>
        <w:t>行业发展规划和政策要求</w:t>
      </w:r>
      <w:r>
        <w:rPr>
          <w:rFonts w:hint="default" w:ascii="Times New Roman" w:hAnsi="Times New Roman" w:eastAsia="方正仿宋_GBK" w:cs="Times New Roman"/>
          <w:color w:val="auto"/>
          <w:sz w:val="31"/>
          <w:szCs w:val="31"/>
          <w:lang w:eastAsia="zh-CN"/>
        </w:rPr>
        <w:t>；围绕本年度单位</w:t>
      </w:r>
      <w:r>
        <w:rPr>
          <w:rFonts w:hint="eastAsia" w:eastAsia="方正仿宋_GBK" w:cs="Times New Roman"/>
          <w:color w:val="auto"/>
          <w:sz w:val="31"/>
          <w:szCs w:val="31"/>
          <w:lang w:eastAsia="zh-CN"/>
        </w:rPr>
        <w:t>关于城乡居民基本医疗保险</w:t>
      </w:r>
      <w:r>
        <w:rPr>
          <w:rFonts w:hint="default" w:ascii="Times New Roman" w:hAnsi="Times New Roman" w:eastAsia="方正仿宋_GBK" w:cs="Times New Roman"/>
          <w:color w:val="auto"/>
          <w:sz w:val="31"/>
          <w:szCs w:val="31"/>
          <w:lang w:eastAsia="zh-CN"/>
        </w:rPr>
        <w:t>工作重点和工作计划制定经费预算，属于公共财政支持范围，</w:t>
      </w:r>
      <w:r>
        <w:rPr>
          <w:rFonts w:hint="eastAsia" w:eastAsia="方正仿宋_GBK" w:cs="Times New Roman"/>
          <w:color w:val="auto"/>
          <w:sz w:val="31"/>
          <w:szCs w:val="31"/>
          <w:lang w:val="en-US" w:eastAsia="zh-CN"/>
        </w:rPr>
        <w:t>2023年城乡居民基本医疗保险县级财政补助资金项目</w:t>
      </w:r>
      <w:r>
        <w:rPr>
          <w:rFonts w:hint="default" w:ascii="Times New Roman" w:hAnsi="Times New Roman" w:eastAsia="方正仿宋_GBK" w:cs="Times New Roman"/>
          <w:color w:val="auto"/>
          <w:sz w:val="31"/>
          <w:szCs w:val="31"/>
          <w:lang w:eastAsia="zh-CN"/>
        </w:rPr>
        <w:t>与</w:t>
      </w:r>
      <w:r>
        <w:rPr>
          <w:rFonts w:hint="eastAsia" w:eastAsia="方正仿宋_GBK" w:cs="Times New Roman"/>
          <w:color w:val="auto"/>
          <w:sz w:val="31"/>
          <w:szCs w:val="31"/>
          <w:lang w:eastAsia="zh-CN"/>
        </w:rPr>
        <w:t>单位</w:t>
      </w:r>
      <w:r>
        <w:rPr>
          <w:rFonts w:hint="default" w:ascii="Times New Roman" w:hAnsi="Times New Roman" w:eastAsia="方正仿宋_GBK" w:cs="Times New Roman"/>
          <w:color w:val="auto"/>
          <w:sz w:val="31"/>
          <w:szCs w:val="31"/>
          <w:lang w:eastAsia="zh-CN"/>
        </w:rPr>
        <w:t>内部其他相关项目不重复。</w:t>
      </w:r>
    </w:p>
    <w:p>
      <w:pPr>
        <w:spacing w:line="60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2.立项程序规范性</w:t>
      </w:r>
    </w:p>
    <w:p>
      <w:pPr>
        <w:spacing w:line="600" w:lineRule="exact"/>
        <w:ind w:firstLine="62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1"/>
          <w:szCs w:val="31"/>
          <w:lang w:eastAsia="zh-CN"/>
        </w:rPr>
        <w:t>该项目申请、设立过程符合《中华人民共和国社会保险法》第三章第二十五条规定，符合《</w:t>
      </w:r>
      <w:r>
        <w:rPr>
          <w:rFonts w:hint="eastAsia" w:ascii="方正仿宋_GBK" w:hAnsi="方正仿宋_GBK" w:eastAsia="方正仿宋_GBK" w:cs="方正仿宋_GBK"/>
          <w:color w:val="auto"/>
          <w:sz w:val="31"/>
          <w:szCs w:val="31"/>
        </w:rPr>
        <w:t>关于印发巴州城乡居民基本医疗保险实施办法（试行）的通知</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（巴政办发</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2017</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74号）</w:t>
      </w:r>
      <w:r>
        <w:rPr>
          <w:rFonts w:hint="eastAsia" w:eastAsia="方正仿宋_GBK" w:cs="Times New Roman"/>
          <w:color w:val="auto"/>
          <w:sz w:val="31"/>
          <w:szCs w:val="31"/>
          <w:lang w:eastAsia="zh-CN"/>
        </w:rPr>
        <w:t>文件要求</w:t>
      </w:r>
      <w:r>
        <w:rPr>
          <w:rFonts w:hint="eastAsia" w:ascii="方正仿宋_GBK" w:hAnsi="方正仿宋_GBK" w:eastAsia="方正仿宋_GBK" w:cs="方正仿宋_GBK"/>
          <w:color w:val="auto"/>
          <w:sz w:val="31"/>
          <w:szCs w:val="31"/>
          <w:lang w:eastAsia="zh-CN"/>
        </w:rPr>
        <w:t>，严格按照审批流程准备符合要求的相关文件、材料，项目</w:t>
      </w:r>
      <w:r>
        <w:rPr>
          <w:rFonts w:hint="eastAsia" w:ascii="方正仿宋_GBK" w:hAnsi="方正仿宋_GBK" w:eastAsia="方正仿宋_GBK" w:cs="方正仿宋_GBK"/>
          <w:color w:val="auto"/>
          <w:sz w:val="31"/>
          <w:szCs w:val="31"/>
        </w:rPr>
        <w:t>事前经过必要的</w:t>
      </w:r>
      <w:r>
        <w:rPr>
          <w:rFonts w:hint="eastAsia" w:ascii="方正仿宋_GBK" w:hAnsi="方正仿宋_GBK" w:eastAsia="方正仿宋_GBK" w:cs="方正仿宋_GBK"/>
          <w:color w:val="auto"/>
          <w:sz w:val="31"/>
          <w:szCs w:val="31"/>
          <w:lang w:eastAsia="zh-CN"/>
        </w:rPr>
        <w:t>党组会议</w:t>
      </w:r>
      <w:r>
        <w:rPr>
          <w:rFonts w:hint="eastAsia" w:ascii="方正仿宋_GBK" w:hAnsi="方正仿宋_GBK" w:eastAsia="方正仿宋_GBK" w:cs="方正仿宋_GBK"/>
          <w:color w:val="auto"/>
          <w:sz w:val="31"/>
          <w:szCs w:val="31"/>
        </w:rPr>
        <w:t>集体决策</w:t>
      </w:r>
      <w:r>
        <w:rPr>
          <w:rFonts w:hint="eastAsia" w:ascii="方正仿宋_GBK" w:hAnsi="方正仿宋_GBK" w:eastAsia="方正仿宋_GBK" w:cs="方正仿宋_GBK"/>
          <w:color w:val="auto"/>
          <w:sz w:val="31"/>
          <w:szCs w:val="31"/>
          <w:lang w:eastAsia="zh-CN"/>
        </w:rPr>
        <w:t>，保障了程序的规范性。</w:t>
      </w:r>
    </w:p>
    <w:p>
      <w:pPr>
        <w:spacing w:line="600" w:lineRule="exact"/>
        <w:ind w:firstLine="640" w:firstLineChars="200"/>
        <w:rPr>
          <w:rFonts w:hint="eastAsia"/>
          <w:sz w:val="32"/>
          <w:szCs w:val="32"/>
        </w:rPr>
      </w:pPr>
      <w:r>
        <w:rPr>
          <w:rFonts w:hint="eastAsia"/>
          <w:sz w:val="32"/>
          <w:szCs w:val="32"/>
        </w:rPr>
        <w:t>3.绩效目标合理性</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eastAsia" w:ascii="方正仿宋_GBK" w:hAnsi="方正仿宋_GBK" w:eastAsia="方正仿宋_GBK" w:cs="方正仿宋_GBK"/>
          <w:color w:val="auto"/>
          <w:sz w:val="31"/>
          <w:szCs w:val="31"/>
          <w:lang w:eastAsia="zh-CN"/>
        </w:rPr>
        <w:t>年初结合城乡居民基本医疗保险实际工作内容设立了项目绩效目标，绩效目标根据实际工作开展情况设立，依据充分，与城乡居民基本医疗保险工作具有相关性，项目的预期产出效益和效果也均能体现有效减轻了城乡居民患者医疗费用负担，并且与年初预算确定的项目投资额</w:t>
      </w:r>
      <w:r>
        <w:rPr>
          <w:rFonts w:hint="eastAsia" w:eastAsia="方正仿宋_GBK" w:cs="Times New Roman"/>
          <w:color w:val="auto"/>
          <w:sz w:val="31"/>
          <w:szCs w:val="31"/>
          <w:lang w:val="en-US" w:eastAsia="zh-CN"/>
        </w:rPr>
        <w:t>668.4万</w:t>
      </w:r>
      <w:r>
        <w:rPr>
          <w:rFonts w:hint="eastAsia" w:ascii="方正仿宋_GBK" w:hAnsi="方正仿宋_GBK" w:eastAsia="方正仿宋_GBK" w:cs="方正仿宋_GBK"/>
          <w:color w:val="auto"/>
          <w:sz w:val="31"/>
          <w:szCs w:val="31"/>
          <w:lang w:val="en-US" w:eastAsia="zh-CN"/>
        </w:rPr>
        <w:t>元</w:t>
      </w:r>
      <w:r>
        <w:rPr>
          <w:rFonts w:hint="eastAsia" w:ascii="方正仿宋_GBK" w:hAnsi="方正仿宋_GBK" w:eastAsia="方正仿宋_GBK" w:cs="方正仿宋_GBK"/>
          <w:color w:val="auto"/>
          <w:sz w:val="31"/>
          <w:szCs w:val="31"/>
          <w:lang w:eastAsia="zh-CN"/>
        </w:rPr>
        <w:t>相匹配。</w:t>
      </w:r>
    </w:p>
    <w:p>
      <w:pPr>
        <w:spacing w:line="600" w:lineRule="exact"/>
        <w:ind w:firstLine="640" w:firstLineChars="200"/>
        <w:rPr>
          <w:rFonts w:hint="eastAsia"/>
          <w:sz w:val="32"/>
          <w:szCs w:val="32"/>
        </w:rPr>
      </w:pPr>
      <w:r>
        <w:rPr>
          <w:rFonts w:hint="eastAsia"/>
          <w:sz w:val="32"/>
          <w:szCs w:val="32"/>
        </w:rPr>
        <w:t>4.绩效指标明确性</w:t>
      </w:r>
    </w:p>
    <w:p>
      <w:pPr>
        <w:spacing w:line="600" w:lineRule="exact"/>
        <w:ind w:firstLine="620" w:firstLineChars="200"/>
        <w:jc w:val="both"/>
        <w:rPr>
          <w:rFonts w:hint="eastAsia"/>
          <w:color w:val="FF0000"/>
          <w:sz w:val="32"/>
          <w:szCs w:val="32"/>
          <w:lang w:eastAsia="zh-CN"/>
        </w:rPr>
      </w:pPr>
      <w:r>
        <w:rPr>
          <w:rFonts w:hint="default" w:ascii="Times New Roman" w:hAnsi="Times New Roman" w:eastAsia="方正仿宋_GBK" w:cs="Times New Roman"/>
          <w:color w:val="auto"/>
          <w:sz w:val="31"/>
          <w:szCs w:val="31"/>
        </w:rPr>
        <w:t>2023年城乡居民基本医疗保险县级财政补助经费</w:t>
      </w:r>
      <w:r>
        <w:rPr>
          <w:rFonts w:hint="default" w:ascii="Times New Roman" w:hAnsi="Times New Roman" w:eastAsia="方正仿宋_GBK" w:cs="Times New Roman"/>
          <w:color w:val="auto"/>
          <w:sz w:val="31"/>
          <w:szCs w:val="31"/>
          <w:lang w:eastAsia="zh-CN"/>
        </w:rPr>
        <w:t>项目将项目绩效目标细化分解为具体的绩效指标，一级指标共</w:t>
      </w:r>
      <w:r>
        <w:rPr>
          <w:rFonts w:hint="default" w:ascii="Times New Roman" w:hAnsi="Times New Roman" w:eastAsia="方正仿宋_GBK" w:cs="Times New Roman"/>
          <w:color w:val="auto"/>
          <w:sz w:val="31"/>
          <w:szCs w:val="31"/>
          <w:lang w:val="en-US" w:eastAsia="zh-CN"/>
        </w:rPr>
        <w:t>4</w:t>
      </w:r>
      <w:r>
        <w:rPr>
          <w:rFonts w:hint="default" w:ascii="Times New Roman" w:hAnsi="Times New Roman" w:eastAsia="方正仿宋_GBK" w:cs="Times New Roman"/>
          <w:color w:val="auto"/>
          <w:sz w:val="31"/>
          <w:szCs w:val="31"/>
          <w:lang w:eastAsia="zh-CN"/>
        </w:rPr>
        <w:t>条，二级指标共</w:t>
      </w:r>
      <w:r>
        <w:rPr>
          <w:rFonts w:hint="eastAsia" w:eastAsia="方正仿宋_GBK" w:cs="Times New Roman"/>
          <w:color w:val="auto"/>
          <w:sz w:val="31"/>
          <w:szCs w:val="31"/>
          <w:lang w:val="en-US" w:eastAsia="zh-CN"/>
        </w:rPr>
        <w:t>6</w:t>
      </w:r>
      <w:r>
        <w:rPr>
          <w:rFonts w:hint="default" w:ascii="Times New Roman" w:hAnsi="Times New Roman" w:eastAsia="方正仿宋_GBK" w:cs="Times New Roman"/>
          <w:color w:val="auto"/>
          <w:sz w:val="31"/>
          <w:szCs w:val="31"/>
          <w:lang w:eastAsia="zh-CN"/>
        </w:rPr>
        <w:t>条，三级指标共</w:t>
      </w:r>
      <w:r>
        <w:rPr>
          <w:rFonts w:hint="default" w:ascii="Times New Roman" w:hAnsi="Times New Roman" w:eastAsia="方正仿宋_GBK" w:cs="Times New Roman"/>
          <w:color w:val="auto"/>
          <w:sz w:val="31"/>
          <w:szCs w:val="31"/>
          <w:lang w:val="en-US" w:eastAsia="zh-CN"/>
        </w:rPr>
        <w:t>8</w:t>
      </w:r>
      <w:r>
        <w:rPr>
          <w:rFonts w:hint="default" w:ascii="Times New Roman" w:hAnsi="Times New Roman" w:eastAsia="方正仿宋_GBK" w:cs="Times New Roman"/>
          <w:color w:val="auto"/>
          <w:sz w:val="31"/>
          <w:szCs w:val="31"/>
          <w:lang w:eastAsia="zh-CN"/>
        </w:rPr>
        <w:t>条，其中量化指标条数共</w:t>
      </w:r>
      <w:r>
        <w:rPr>
          <w:rFonts w:hint="default" w:ascii="Times New Roman" w:hAnsi="Times New Roman" w:eastAsia="方正仿宋_GBK" w:cs="Times New Roman"/>
          <w:color w:val="auto"/>
          <w:sz w:val="31"/>
          <w:szCs w:val="31"/>
          <w:lang w:val="en-US" w:eastAsia="zh-CN"/>
        </w:rPr>
        <w:t>7</w:t>
      </w:r>
      <w:r>
        <w:rPr>
          <w:rFonts w:hint="default" w:ascii="Times New Roman" w:hAnsi="Times New Roman" w:eastAsia="方正仿宋_GBK" w:cs="Times New Roman"/>
          <w:color w:val="auto"/>
          <w:sz w:val="31"/>
          <w:szCs w:val="31"/>
          <w:lang w:eastAsia="zh-CN"/>
        </w:rPr>
        <w:t>条，所有绩效指标均通过清晰、可衡量的</w:t>
      </w:r>
      <w:r>
        <w:rPr>
          <w:rFonts w:hint="eastAsia" w:ascii="方正仿宋_GBK" w:hAnsi="方正仿宋_GBK" w:eastAsia="方正仿宋_GBK" w:cs="方正仿宋_GBK"/>
          <w:color w:val="auto"/>
          <w:sz w:val="31"/>
          <w:szCs w:val="31"/>
          <w:lang w:eastAsia="zh-CN"/>
        </w:rPr>
        <w:t>指标值予以体现，并且做到了与项目目标任务数或计划数相对应。</w:t>
      </w:r>
    </w:p>
    <w:p>
      <w:pPr>
        <w:spacing w:line="60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5.预算编制科学性</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default" w:ascii="Times New Roman" w:hAnsi="Times New Roman" w:eastAsia="方正仿宋_GBK" w:cs="Times New Roman"/>
          <w:color w:val="auto"/>
          <w:sz w:val="31"/>
          <w:szCs w:val="31"/>
        </w:rPr>
        <w:t>2023年城乡居民基本医疗保险县级财政补助经费</w:t>
      </w:r>
      <w:r>
        <w:rPr>
          <w:rFonts w:hint="default" w:ascii="Times New Roman" w:hAnsi="Times New Roman" w:eastAsia="方正仿宋_GBK" w:cs="Times New Roman"/>
          <w:color w:val="auto"/>
          <w:sz w:val="31"/>
          <w:szCs w:val="31"/>
          <w:lang w:eastAsia="zh-CN"/>
        </w:rPr>
        <w:t>项目</w:t>
      </w:r>
      <w:r>
        <w:rPr>
          <w:rFonts w:hint="eastAsia" w:eastAsia="方正仿宋_GBK" w:cs="Times New Roman"/>
          <w:color w:val="auto"/>
          <w:sz w:val="31"/>
          <w:szCs w:val="31"/>
          <w:lang w:eastAsia="zh-CN"/>
        </w:rPr>
        <w:t>预算资金</w:t>
      </w:r>
      <w:r>
        <w:rPr>
          <w:rFonts w:hint="eastAsia" w:eastAsia="方正仿宋_GBK" w:cs="Times New Roman"/>
          <w:color w:val="auto"/>
          <w:sz w:val="31"/>
          <w:szCs w:val="31"/>
          <w:lang w:val="en-US" w:eastAsia="zh-CN"/>
        </w:rPr>
        <w:t>668.4万元，按照</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关于做好2023年度城乡居民基本医疗保险集中参保缴费工作的通知</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（巴医保发</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2022</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31</w:t>
      </w:r>
      <w:r>
        <w:rPr>
          <w:rFonts w:hint="eastAsia" w:ascii="方正仿宋_GBK" w:hAnsi="方正仿宋_GBK" w:eastAsia="方正仿宋_GBK" w:cs="方正仿宋_GBK"/>
          <w:color w:val="auto"/>
          <w:sz w:val="31"/>
          <w:szCs w:val="31"/>
        </w:rPr>
        <w:t>号）文件要求</w:t>
      </w:r>
      <w:r>
        <w:rPr>
          <w:rFonts w:hint="eastAsia" w:ascii="方正仿宋_GBK" w:hAnsi="方正仿宋_GBK" w:eastAsia="方正仿宋_GBK" w:cs="方正仿宋_GBK"/>
          <w:color w:val="auto"/>
          <w:sz w:val="31"/>
          <w:szCs w:val="31"/>
          <w:lang w:eastAsia="zh-CN"/>
        </w:rPr>
        <w:t>，及时完成城乡居民基本医疗保险参保缴费工作，资金预算根据</w:t>
      </w:r>
      <w:r>
        <w:rPr>
          <w:rFonts w:hint="eastAsia" w:eastAsia="方正仿宋_GBK" w:cs="Times New Roman"/>
          <w:color w:val="auto"/>
          <w:sz w:val="31"/>
          <w:szCs w:val="31"/>
          <w:lang w:val="en-US" w:eastAsia="zh-CN"/>
        </w:rPr>
        <w:t>2023年城乡居民基本医疗保险参保缴费实际人数及州财政局下发《关于上解2023年</w:t>
      </w:r>
      <w:r>
        <w:rPr>
          <w:rFonts w:hint="eastAsia" w:ascii="方正仿宋_GBK" w:hAnsi="方正仿宋_GBK" w:eastAsia="方正仿宋_GBK" w:cs="方正仿宋_GBK"/>
          <w:color w:val="auto"/>
          <w:sz w:val="31"/>
          <w:szCs w:val="31"/>
          <w:lang w:val="en-US" w:eastAsia="zh-CN"/>
        </w:rPr>
        <w:t>度城乡居民基本医疗保险县级配套资金的函》文件内容进行测算，因此，本项目预算编制较为科学，</w:t>
      </w:r>
      <w:r>
        <w:rPr>
          <w:rFonts w:hint="eastAsia" w:ascii="方正仿宋_GBK" w:hAnsi="方正仿宋_GBK" w:eastAsia="方正仿宋_GBK" w:cs="方正仿宋_GBK"/>
          <w:color w:val="auto"/>
          <w:sz w:val="31"/>
          <w:szCs w:val="31"/>
          <w:lang w:eastAsia="zh-CN"/>
        </w:rPr>
        <w:t>项目预算内容与项目内容相匹配，预算额测算依据充分，预算确定的资金量与项目相匹配。</w:t>
      </w:r>
    </w:p>
    <w:p>
      <w:pPr>
        <w:spacing w:line="60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6.资金分配合理性</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eastAsia" w:ascii="方正仿宋_GBK" w:hAnsi="方正仿宋_GBK" w:eastAsia="方正仿宋_GBK" w:cs="方正仿宋_GBK"/>
          <w:color w:val="auto"/>
          <w:sz w:val="31"/>
          <w:szCs w:val="31"/>
          <w:lang w:eastAsia="zh-CN"/>
        </w:rPr>
        <w:t>本项目主管单位为博湖县医疗保障局，项目实施单位为博湖县医疗保障局，资金按照实际缴费人数所需求的资金直接下达至我单位，我单位在财政一体化系统中采取国库集中支付方式，将城乡居民基本医疗保险县级补助资金直接支付至州财政局，预算资金分配依据充分，资金分配额度合理，与本单位实际工作相适应。</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（二）项目过程情况。</w:t>
      </w:r>
    </w:p>
    <w:p>
      <w:pPr>
        <w:spacing w:line="600" w:lineRule="exact"/>
        <w:ind w:firstLine="620" w:firstLineChars="200"/>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1.资金到位率：</w:t>
      </w:r>
    </w:p>
    <w:p>
      <w:pPr>
        <w:spacing w:line="600" w:lineRule="exact"/>
        <w:ind w:firstLine="620" w:firstLineChars="200"/>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预算资金</w:t>
      </w:r>
      <w:r>
        <w:rPr>
          <w:rFonts w:hint="default" w:ascii="Times New Roman" w:hAnsi="Times New Roman" w:eastAsia="方正仿宋_GBK" w:cs="Times New Roman"/>
          <w:color w:val="auto"/>
          <w:sz w:val="31"/>
          <w:szCs w:val="31"/>
          <w:lang w:val="en-US" w:eastAsia="zh-CN"/>
        </w:rPr>
        <w:t>668.4</w:t>
      </w:r>
      <w:r>
        <w:rPr>
          <w:rFonts w:hint="default" w:ascii="Times New Roman" w:hAnsi="Times New Roman" w:eastAsia="方正仿宋_GBK" w:cs="Times New Roman"/>
          <w:color w:val="auto"/>
          <w:sz w:val="31"/>
          <w:szCs w:val="31"/>
        </w:rPr>
        <w:t>万元，实际到位资金</w:t>
      </w:r>
      <w:r>
        <w:rPr>
          <w:rFonts w:hint="default" w:ascii="Times New Roman" w:hAnsi="Times New Roman" w:eastAsia="方正仿宋_GBK" w:cs="Times New Roman"/>
          <w:color w:val="auto"/>
          <w:sz w:val="31"/>
          <w:szCs w:val="31"/>
          <w:lang w:val="en-US" w:eastAsia="zh-CN"/>
        </w:rPr>
        <w:t>668.4</w:t>
      </w:r>
      <w:r>
        <w:rPr>
          <w:rFonts w:hint="default" w:ascii="Times New Roman" w:hAnsi="Times New Roman" w:eastAsia="方正仿宋_GBK" w:cs="Times New Roman"/>
          <w:color w:val="auto"/>
          <w:sz w:val="31"/>
          <w:szCs w:val="31"/>
        </w:rPr>
        <w:t>万元，资金到位率</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rPr>
        <w:t>%。</w:t>
      </w:r>
    </w:p>
    <w:p>
      <w:pPr>
        <w:spacing w:line="600" w:lineRule="exact"/>
        <w:ind w:firstLine="620" w:firstLineChars="200"/>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2.预算执行率</w:t>
      </w:r>
    </w:p>
    <w:p>
      <w:pPr>
        <w:spacing w:line="600" w:lineRule="exact"/>
        <w:ind w:firstLine="620" w:firstLineChars="200"/>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rPr>
        <w:t>年初预算数</w:t>
      </w:r>
      <w:r>
        <w:rPr>
          <w:rFonts w:hint="default" w:ascii="Times New Roman" w:hAnsi="Times New Roman" w:eastAsia="方正仿宋_GBK" w:cs="Times New Roman"/>
          <w:color w:val="auto"/>
          <w:sz w:val="31"/>
          <w:szCs w:val="31"/>
          <w:lang w:val="en-US" w:eastAsia="zh-CN"/>
        </w:rPr>
        <w:t>660</w:t>
      </w:r>
      <w:r>
        <w:rPr>
          <w:rFonts w:hint="default" w:ascii="Times New Roman" w:hAnsi="Times New Roman" w:eastAsia="方正仿宋_GBK" w:cs="Times New Roman"/>
          <w:color w:val="auto"/>
          <w:sz w:val="31"/>
          <w:szCs w:val="31"/>
        </w:rPr>
        <w:t>万元，全年预算数</w:t>
      </w:r>
      <w:r>
        <w:rPr>
          <w:rFonts w:hint="default" w:ascii="Times New Roman" w:hAnsi="Times New Roman" w:eastAsia="方正仿宋_GBK" w:cs="Times New Roman"/>
          <w:color w:val="auto"/>
          <w:sz w:val="31"/>
          <w:szCs w:val="31"/>
          <w:lang w:val="en-US" w:eastAsia="zh-CN"/>
        </w:rPr>
        <w:t>668.4</w:t>
      </w:r>
      <w:r>
        <w:rPr>
          <w:rFonts w:hint="default" w:ascii="Times New Roman" w:hAnsi="Times New Roman" w:eastAsia="方正仿宋_GBK" w:cs="Times New Roman"/>
          <w:color w:val="auto"/>
          <w:sz w:val="31"/>
          <w:szCs w:val="31"/>
        </w:rPr>
        <w:t>万元，全年执行数</w:t>
      </w:r>
      <w:r>
        <w:rPr>
          <w:rFonts w:hint="default" w:ascii="Times New Roman" w:hAnsi="Times New Roman" w:eastAsia="方正仿宋_GBK" w:cs="Times New Roman"/>
          <w:color w:val="auto"/>
          <w:sz w:val="31"/>
          <w:szCs w:val="31"/>
          <w:lang w:val="en-US" w:eastAsia="zh-CN"/>
        </w:rPr>
        <w:t>668.4</w:t>
      </w:r>
      <w:r>
        <w:rPr>
          <w:rFonts w:hint="default" w:ascii="Times New Roman" w:hAnsi="Times New Roman" w:eastAsia="方正仿宋_GBK" w:cs="Times New Roman"/>
          <w:color w:val="auto"/>
          <w:sz w:val="31"/>
          <w:szCs w:val="31"/>
        </w:rPr>
        <w:t>万元，预算执行率为</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rPr>
        <w:t>%</w:t>
      </w:r>
      <w:r>
        <w:rPr>
          <w:rFonts w:hint="default" w:ascii="Times New Roman" w:hAnsi="Times New Roman" w:eastAsia="方正仿宋_GBK" w:cs="Times New Roman"/>
          <w:color w:val="auto"/>
          <w:sz w:val="31"/>
          <w:szCs w:val="31"/>
          <w:lang w:eastAsia="zh-CN"/>
        </w:rPr>
        <w:t>。</w:t>
      </w:r>
    </w:p>
    <w:p>
      <w:pPr>
        <w:spacing w:line="60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3.资金使用合规性</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eastAsia" w:ascii="方正仿宋_GBK" w:hAnsi="方正仿宋_GBK" w:eastAsia="方正仿宋_GBK" w:cs="方正仿宋_GBK"/>
          <w:color w:val="auto"/>
          <w:sz w:val="31"/>
          <w:szCs w:val="31"/>
          <w:lang w:eastAsia="zh-CN"/>
        </w:rPr>
        <w:t>本项目资金的使用符合《中华人民共和国预算法》《中华人民共和国会计法》《中华人民共和国社会保险法》《博湖县财政预算资金拨付管理暂行办法》等法律法规和相关规定，资金的使用有完整的审批程序和手续；严格按照国库集中支付方式支付资金，资金使用符合城乡居民基本医疗保险项目资金支持的范围，不存在截留、挤占挪用、虚列支出等情况。</w:t>
      </w:r>
    </w:p>
    <w:p>
      <w:pPr>
        <w:spacing w:line="60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4.管理制度健全性</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eastAsia" w:ascii="方正仿宋_GBK" w:hAnsi="方正仿宋_GBK" w:eastAsia="方正仿宋_GBK" w:cs="方正仿宋_GBK"/>
          <w:color w:val="auto"/>
          <w:sz w:val="31"/>
          <w:szCs w:val="31"/>
          <w:lang w:eastAsia="zh-CN"/>
        </w:rPr>
        <w:t>本项目制定了《博湖县医疗保障局财务管理办法》和《博湖县医疗保障局内控管理制度》，制定了较为全面的项目管理制度，相对财政资金进行严格管理，做到专款专用，同时，项目的实施严格遵守《中华人民共和国预算法》《中华人民共和国会计法》《中华人民共和国社会保险法》等法律法规、财经制度的要求。</w:t>
      </w:r>
    </w:p>
    <w:p>
      <w:pPr>
        <w:spacing w:line="600" w:lineRule="exact"/>
        <w:ind w:firstLine="640" w:firstLineChars="200"/>
        <w:rPr>
          <w:rFonts w:hint="eastAsia"/>
          <w:sz w:val="32"/>
          <w:szCs w:val="32"/>
        </w:rPr>
      </w:pPr>
      <w:r>
        <w:rPr>
          <w:rFonts w:hint="eastAsia"/>
          <w:sz w:val="32"/>
          <w:szCs w:val="32"/>
        </w:rPr>
        <w:t>5.制度执行有效性</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eastAsia" w:ascii="方正仿宋_GBK" w:hAnsi="方正仿宋_GBK" w:eastAsia="方正仿宋_GBK" w:cs="方正仿宋_GBK"/>
          <w:color w:val="auto"/>
          <w:sz w:val="31"/>
          <w:szCs w:val="31"/>
          <w:lang w:eastAsia="zh-CN"/>
        </w:rPr>
        <w:t>本项目在实施过程中严格遵守相关法律法规和相关管理规定，如《中华人民共和国预算法》《中华人民共和国会计法》《中华人民共和国社会保险法》等，严格按照</w:t>
      </w:r>
      <w:r>
        <w:rPr>
          <w:rFonts w:hint="eastAsia" w:eastAsia="方正仿宋_GBK" w:cs="Times New Roman"/>
          <w:color w:val="auto"/>
          <w:sz w:val="31"/>
          <w:szCs w:val="31"/>
          <w:lang w:val="en-US" w:eastAsia="zh-CN"/>
        </w:rPr>
        <w:t>2023年城乡居民基本医疗保险参保缴费实际人数及州财政局下发《关于上解2023年</w:t>
      </w:r>
      <w:r>
        <w:rPr>
          <w:rFonts w:hint="eastAsia" w:ascii="方正仿宋_GBK" w:hAnsi="方正仿宋_GBK" w:eastAsia="方正仿宋_GBK" w:cs="方正仿宋_GBK"/>
          <w:color w:val="auto"/>
          <w:sz w:val="31"/>
          <w:szCs w:val="31"/>
          <w:lang w:val="en-US" w:eastAsia="zh-CN"/>
        </w:rPr>
        <w:t>度城乡居民基本医疗保险县级配套资金的函》文件要求执行，补助资金文件、城乡居民基本医疗保险参保缴费人员明细等资料齐全，并及时整理归档。</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（三）项目产出情况。</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lang w:eastAsia="zh-CN"/>
        </w:rPr>
        <w:t>1.数量指标：指标1：城乡居民参保补助人数，指标值：≧</w:t>
      </w:r>
      <w:r>
        <w:rPr>
          <w:rFonts w:hint="default" w:ascii="Times New Roman" w:hAnsi="Times New Roman" w:eastAsia="方正仿宋_GBK" w:cs="Times New Roman"/>
          <w:color w:val="auto"/>
          <w:sz w:val="31"/>
          <w:szCs w:val="31"/>
          <w:lang w:val="en-US" w:eastAsia="zh-CN"/>
        </w:rPr>
        <w:t>3</w:t>
      </w:r>
      <w:r>
        <w:rPr>
          <w:rFonts w:hint="default" w:ascii="Times New Roman" w:hAnsi="Times New Roman" w:eastAsia="方正仿宋_GBK" w:cs="Times New Roman"/>
          <w:color w:val="auto"/>
          <w:sz w:val="31"/>
          <w:szCs w:val="31"/>
          <w:lang w:eastAsia="zh-CN"/>
        </w:rPr>
        <w:t>6300人，实际完成值</w:t>
      </w:r>
      <w:r>
        <w:rPr>
          <w:rFonts w:hint="default" w:ascii="Times New Roman" w:hAnsi="Times New Roman" w:eastAsia="方正仿宋_GBK" w:cs="Times New Roman"/>
          <w:color w:val="auto"/>
          <w:sz w:val="31"/>
          <w:szCs w:val="31"/>
          <w:lang w:val="en-US" w:eastAsia="zh-CN"/>
        </w:rPr>
        <w:t>35353人</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97.39</w:t>
      </w:r>
      <w:r>
        <w:rPr>
          <w:rFonts w:hint="default" w:ascii="Times New Roman" w:hAnsi="Times New Roman" w:eastAsia="方正仿宋_GBK" w:cs="Times New Roman"/>
          <w:color w:val="auto"/>
          <w:sz w:val="31"/>
          <w:szCs w:val="31"/>
          <w:lang w:eastAsia="zh-CN"/>
        </w:rPr>
        <w:t>%，偏差原因：本年参保人数较往年有所下降，主要原因就是外出务工人员增加，城乡居民基本医疗保险转职工医疗保险人数较往年也有所增加。</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lang w:val="en-US" w:eastAsia="zh-CN"/>
        </w:rPr>
      </w:pPr>
      <w:r>
        <w:rPr>
          <w:rFonts w:hint="default" w:ascii="Times New Roman" w:hAnsi="Times New Roman" w:eastAsia="方正仿宋_GBK" w:cs="Times New Roman"/>
          <w:color w:val="auto"/>
          <w:sz w:val="31"/>
          <w:szCs w:val="31"/>
          <w:lang w:eastAsia="zh-CN"/>
        </w:rPr>
        <w:t>2.质量指标：指标1：补助资金使用准确率，指标值：</w:t>
      </w:r>
      <w:r>
        <w:rPr>
          <w:rFonts w:hint="default" w:ascii="Times New Roman" w:hAnsi="Times New Roman" w:eastAsia="方正仿宋_GBK" w:cs="Times New Roman"/>
          <w:color w:val="auto"/>
          <w:sz w:val="31"/>
          <w:szCs w:val="31"/>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lang w:val="en-US" w:eastAsia="zh-CN"/>
        </w:rPr>
        <w:t>%</w:t>
      </w:r>
      <w:r>
        <w:rPr>
          <w:rFonts w:hint="default" w:ascii="Times New Roman" w:hAnsi="Times New Roman" w:eastAsia="方正仿宋_GBK" w:cs="Times New Roman"/>
          <w:color w:val="auto"/>
          <w:sz w:val="31"/>
          <w:szCs w:val="31"/>
          <w:lang w:eastAsia="zh-CN"/>
        </w:rPr>
        <w:t>，实际完成值</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%；指标2：城乡居民参保补助覆盖率，指标值：</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，实际完成值</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lang w:eastAsia="zh-CN"/>
        </w:rPr>
        <w:t>3.时效指标：指标1：医保报销结算及时率，指标值：≧</w:t>
      </w:r>
      <w:r>
        <w:rPr>
          <w:rFonts w:hint="default" w:ascii="Times New Roman" w:hAnsi="Times New Roman" w:eastAsia="方正仿宋_GBK" w:cs="Times New Roman"/>
          <w:color w:val="auto"/>
          <w:sz w:val="31"/>
          <w:szCs w:val="31"/>
          <w:lang w:val="en-US" w:eastAsia="zh-CN"/>
        </w:rPr>
        <w:t>90%</w:t>
      </w:r>
      <w:r>
        <w:rPr>
          <w:rFonts w:hint="default" w:ascii="Times New Roman" w:hAnsi="Times New Roman" w:eastAsia="方正仿宋_GBK" w:cs="Times New Roman"/>
          <w:color w:val="auto"/>
          <w:sz w:val="31"/>
          <w:szCs w:val="31"/>
          <w:lang w:eastAsia="zh-CN"/>
        </w:rPr>
        <w:t>，实际完成值</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111.11</w:t>
      </w:r>
      <w:r>
        <w:rPr>
          <w:rFonts w:hint="default" w:ascii="Times New Roman" w:hAnsi="Times New Roman" w:eastAsia="方正仿宋_GBK" w:cs="Times New Roman"/>
          <w:color w:val="auto"/>
          <w:sz w:val="31"/>
          <w:szCs w:val="31"/>
          <w:lang w:eastAsia="zh-CN"/>
        </w:rPr>
        <w:t>%，偏差原因：本年医保报销结算及时率达到100%，按照医保报销政策的要求及工作方式的改进，本年度医保报销结算采用一站式结算方式，更快捷更灵活；指标2：补助资金到位及时率，指标值：</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，实际完成值</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lang w:eastAsia="zh-CN"/>
        </w:rPr>
        <w:t>4.成本指标：指标1：平均补助成本，指标值：≤</w:t>
      </w:r>
      <w:r>
        <w:rPr>
          <w:rFonts w:hint="default" w:ascii="Times New Roman" w:hAnsi="Times New Roman" w:eastAsia="方正仿宋_GBK" w:cs="Times New Roman"/>
          <w:color w:val="auto"/>
          <w:sz w:val="31"/>
          <w:szCs w:val="31"/>
          <w:lang w:val="en-US" w:eastAsia="zh-CN"/>
        </w:rPr>
        <w:t>184.13元/人·年</w:t>
      </w:r>
      <w:r>
        <w:rPr>
          <w:rFonts w:hint="default" w:ascii="Times New Roman" w:hAnsi="Times New Roman" w:eastAsia="方正仿宋_GBK" w:cs="Times New Roman"/>
          <w:color w:val="auto"/>
          <w:sz w:val="31"/>
          <w:szCs w:val="31"/>
          <w:lang w:eastAsia="zh-CN"/>
        </w:rPr>
        <w:t>，实际完成值</w:t>
      </w:r>
      <w:r>
        <w:rPr>
          <w:rFonts w:hint="default" w:ascii="Times New Roman" w:hAnsi="Times New Roman" w:eastAsia="方正仿宋_GBK" w:cs="Times New Roman"/>
          <w:color w:val="auto"/>
          <w:sz w:val="31"/>
          <w:szCs w:val="31"/>
          <w:lang w:val="en-US" w:eastAsia="zh-CN"/>
        </w:rPr>
        <w:t>184.13元/人·年</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（四）项目效益情况。</w:t>
      </w:r>
    </w:p>
    <w:p>
      <w:pPr>
        <w:spacing w:line="600" w:lineRule="exact"/>
        <w:ind w:firstLine="620" w:firstLineChars="200"/>
        <w:rPr>
          <w:rFonts w:hint="default"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lang w:eastAsia="zh-CN"/>
        </w:rPr>
        <w:t>1.社会效益指标：指标1：减轻城乡居民患者医疗费用负担，指标值：有效减轻，实际完成值：</w:t>
      </w:r>
      <w:r>
        <w:rPr>
          <w:rFonts w:hint="default" w:ascii="Times New Roman" w:hAnsi="Times New Roman" w:eastAsia="方正仿宋_GBK" w:cs="Times New Roman"/>
          <w:color w:val="auto"/>
          <w:sz w:val="31"/>
          <w:szCs w:val="31"/>
          <w:lang w:val="en-US" w:eastAsia="zh-CN"/>
        </w:rPr>
        <w:t>达成目标</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100</w:t>
      </w:r>
      <w:r>
        <w:rPr>
          <w:rFonts w:hint="default" w:ascii="Times New Roman" w:hAnsi="Times New Roman" w:eastAsia="方正仿宋_GBK" w:cs="Times New Roman"/>
          <w:color w:val="auto"/>
          <w:sz w:val="31"/>
          <w:szCs w:val="31"/>
          <w:lang w:eastAsia="zh-CN"/>
        </w:rPr>
        <w:t>%。</w:t>
      </w:r>
    </w:p>
    <w:p>
      <w:pPr>
        <w:spacing w:line="600" w:lineRule="exact"/>
        <w:ind w:firstLine="620" w:firstLineChars="200"/>
        <w:rPr>
          <w:rFonts w:hint="eastAsia" w:ascii="方正仿宋_GBK" w:hAnsi="方正仿宋_GBK" w:eastAsia="方正仿宋_GBK" w:cs="方正仿宋_GBK"/>
          <w:color w:val="FF0000"/>
          <w:sz w:val="31"/>
          <w:szCs w:val="31"/>
          <w:lang w:eastAsia="zh-CN"/>
        </w:rPr>
      </w:pPr>
      <w:r>
        <w:rPr>
          <w:rFonts w:hint="default" w:ascii="Times New Roman" w:hAnsi="Times New Roman" w:eastAsia="方正仿宋_GBK" w:cs="Times New Roman"/>
          <w:color w:val="auto"/>
          <w:sz w:val="31"/>
          <w:szCs w:val="31"/>
          <w:lang w:val="en-US" w:eastAsia="zh-CN"/>
        </w:rPr>
        <w:t>2</w:t>
      </w:r>
      <w:r>
        <w:rPr>
          <w:rFonts w:hint="default" w:ascii="Times New Roman" w:hAnsi="Times New Roman" w:eastAsia="方正仿宋_GBK" w:cs="Times New Roman"/>
          <w:color w:val="auto"/>
          <w:sz w:val="31"/>
          <w:szCs w:val="31"/>
          <w:lang w:eastAsia="zh-CN"/>
        </w:rPr>
        <w:t>.满意度指标：指标1：参保补助对象满意度，指标值：≧</w:t>
      </w:r>
      <w:r>
        <w:rPr>
          <w:rFonts w:hint="default" w:ascii="Times New Roman" w:hAnsi="Times New Roman" w:eastAsia="方正仿宋_GBK" w:cs="Times New Roman"/>
          <w:color w:val="auto"/>
          <w:sz w:val="31"/>
          <w:szCs w:val="31"/>
          <w:lang w:val="en-US" w:eastAsia="zh-CN"/>
        </w:rPr>
        <w:t>95%</w:t>
      </w:r>
      <w:r>
        <w:rPr>
          <w:rFonts w:hint="default" w:ascii="Times New Roman" w:hAnsi="Times New Roman" w:eastAsia="方正仿宋_GBK" w:cs="Times New Roman"/>
          <w:color w:val="auto"/>
          <w:sz w:val="31"/>
          <w:szCs w:val="31"/>
          <w:lang w:eastAsia="zh-CN"/>
        </w:rPr>
        <w:t>，实际完成值</w:t>
      </w:r>
      <w:r>
        <w:rPr>
          <w:rFonts w:hint="default" w:ascii="Times New Roman" w:hAnsi="Times New Roman" w:eastAsia="方正仿宋_GBK" w:cs="Times New Roman"/>
          <w:color w:val="auto"/>
          <w:sz w:val="31"/>
          <w:szCs w:val="31"/>
          <w:lang w:val="en-US" w:eastAsia="zh-CN"/>
        </w:rPr>
        <w:t>96.47%</w:t>
      </w:r>
      <w:r>
        <w:rPr>
          <w:rFonts w:hint="default" w:ascii="Times New Roman" w:hAnsi="Times New Roman" w:eastAsia="方正仿宋_GBK" w:cs="Times New Roman"/>
          <w:color w:val="auto"/>
          <w:sz w:val="31"/>
          <w:szCs w:val="31"/>
          <w:lang w:eastAsia="zh-CN"/>
        </w:rPr>
        <w:t>，指标完成率</w:t>
      </w:r>
      <w:r>
        <w:rPr>
          <w:rFonts w:hint="default" w:ascii="Times New Roman" w:hAnsi="Times New Roman" w:eastAsia="方正仿宋_GBK" w:cs="Times New Roman"/>
          <w:color w:val="auto"/>
          <w:sz w:val="31"/>
          <w:szCs w:val="31"/>
          <w:lang w:val="en-US" w:eastAsia="zh-CN"/>
        </w:rPr>
        <w:t>101.55%</w:t>
      </w:r>
      <w:r>
        <w:rPr>
          <w:rFonts w:hint="default" w:ascii="Times New Roman" w:hAnsi="Times New Roman" w:eastAsia="方正仿宋_GBK" w:cs="Times New Roman"/>
          <w:color w:val="auto"/>
          <w:sz w:val="31"/>
          <w:szCs w:val="31"/>
          <w:lang w:eastAsia="zh-CN"/>
        </w:rPr>
        <w:t>，偏差原因：根据满意度调查报告中显示，本年度参保补助对象满意度较往年有所上涨，比年初预期满意度高，说明在参保缴费、医疗费用报销方面大家的认可度有所提升。</w:t>
      </w:r>
    </w:p>
    <w:p>
      <w:p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五、</w:t>
      </w:r>
      <w:r>
        <w:rPr>
          <w:rFonts w:hint="eastAsia" w:ascii="黑体" w:hAnsi="黑体" w:eastAsia="黑体"/>
          <w:sz w:val="32"/>
          <w:szCs w:val="32"/>
          <w:lang w:eastAsia="zh-CN"/>
        </w:rPr>
        <w:t>预算执行进度与绩效指标总体完成率偏差</w:t>
      </w:r>
    </w:p>
    <w:p>
      <w:pPr>
        <w:spacing w:line="600" w:lineRule="exact"/>
        <w:ind w:firstLine="620" w:firstLineChars="200"/>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eastAsia="zh-CN"/>
        </w:rPr>
        <w:t>项目年初预算</w:t>
      </w:r>
      <w:r>
        <w:rPr>
          <w:rFonts w:hint="default" w:ascii="Times New Roman" w:hAnsi="Times New Roman" w:eastAsia="方正仿宋_GBK" w:cs="Times New Roman"/>
          <w:sz w:val="31"/>
          <w:szCs w:val="31"/>
          <w:lang w:val="en-US" w:eastAsia="zh-CN"/>
        </w:rPr>
        <w:t>660</w:t>
      </w:r>
      <w:r>
        <w:rPr>
          <w:rFonts w:hint="default" w:ascii="Times New Roman" w:hAnsi="Times New Roman" w:eastAsia="方正仿宋_GBK" w:cs="Times New Roman"/>
          <w:sz w:val="31"/>
          <w:szCs w:val="31"/>
          <w:lang w:eastAsia="zh-CN"/>
        </w:rPr>
        <w:t>万元，全年预算</w:t>
      </w:r>
      <w:r>
        <w:rPr>
          <w:rFonts w:hint="default" w:ascii="Times New Roman" w:hAnsi="Times New Roman" w:eastAsia="方正仿宋_GBK" w:cs="Times New Roman"/>
          <w:sz w:val="31"/>
          <w:szCs w:val="31"/>
          <w:lang w:val="en-US" w:eastAsia="zh-CN"/>
        </w:rPr>
        <w:t>668.4</w:t>
      </w:r>
      <w:r>
        <w:rPr>
          <w:rFonts w:hint="default" w:ascii="Times New Roman" w:hAnsi="Times New Roman" w:eastAsia="方正仿宋_GBK" w:cs="Times New Roman"/>
          <w:sz w:val="31"/>
          <w:szCs w:val="31"/>
          <w:lang w:eastAsia="zh-CN"/>
        </w:rPr>
        <w:t>万元，预算执行率为</w:t>
      </w:r>
      <w:r>
        <w:rPr>
          <w:rFonts w:hint="default" w:ascii="Times New Roman" w:hAnsi="Times New Roman" w:eastAsia="方正仿宋_GBK" w:cs="Times New Roman"/>
          <w:sz w:val="31"/>
          <w:szCs w:val="31"/>
          <w:lang w:val="en-US" w:eastAsia="zh-CN"/>
        </w:rPr>
        <w:t>100%，项目绩效指标总体完成率为101.26%，总体偏差率为1.26%，偏差原因：本年参保人数较往年有所下降，主要原因就是外出务工人员增加，城乡居民基本医疗保险转职工医疗保险人数较往年也有所增。</w:t>
      </w:r>
      <w:r>
        <w:rPr>
          <w:rFonts w:hint="default" w:ascii="Times New Roman" w:hAnsi="Times New Roman" w:eastAsia="方正仿宋_GBK" w:cs="Times New Roman"/>
          <w:sz w:val="31"/>
          <w:szCs w:val="31"/>
          <w:lang w:eastAsia="zh-CN"/>
        </w:rPr>
        <w:t>改进措施：加强城乡居民基本医疗保险的宣传力度，提高城乡居民医保和大病保险筹资标准，确保基本医保待遇保障到位，对县域内居住人口做到应保尽保，应参尽参。</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主要经验及做法、存在的问题及原因分析</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（一）主要经验及做法</w:t>
      </w:r>
    </w:p>
    <w:p>
      <w:pPr>
        <w:spacing w:line="600" w:lineRule="exact"/>
        <w:ind w:firstLine="620" w:firstLineChars="200"/>
        <w:rPr>
          <w:rFonts w:hint="eastAsia" w:ascii="方正仿宋_GBK" w:hAnsi="方正仿宋_GBK" w:eastAsia="方正仿宋_GBK" w:cs="方正仿宋_GBK"/>
          <w:color w:val="auto"/>
          <w:sz w:val="31"/>
          <w:szCs w:val="31"/>
          <w:lang w:eastAsia="zh-CN"/>
        </w:rPr>
      </w:pPr>
      <w:r>
        <w:rPr>
          <w:rFonts w:hint="eastAsia" w:ascii="方正仿宋_GBK" w:hAnsi="方正仿宋_GBK" w:eastAsia="方正仿宋_GBK" w:cs="方正仿宋_GBK"/>
          <w:color w:val="auto"/>
          <w:sz w:val="31"/>
          <w:szCs w:val="31"/>
          <w:lang w:eastAsia="zh-CN"/>
        </w:rPr>
        <w:t>一是加强领导，落实责任。为规范、有效推进工作开展，成立县医疗保障局项目资金有效管理领导小组，由县医保中心主任任组长，办公室主任任副组长，各科室负责人为成员的项目领导小组，明确了各部门工作职责，从制定工作方案、工作推进、资金管理各方面加强统筹协调，共同推进医保信息化建设工作顺利实施。</w:t>
      </w:r>
    </w:p>
    <w:p>
      <w:pPr>
        <w:spacing w:line="600" w:lineRule="exact"/>
        <w:ind w:firstLine="620" w:firstLineChars="200"/>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z w:val="31"/>
          <w:szCs w:val="31"/>
          <w:lang w:eastAsia="zh-CN"/>
        </w:rPr>
        <w:t>二是严格程序，确保资金效益。严格资金审批流程，明确资金使用范围，保证项目资金专款专用，有效杜绝了截留、挪用、滞留、浪费资金等现象的发生，确保了资金使用安全和最大效益的发挥。</w:t>
      </w:r>
    </w:p>
    <w:p>
      <w:pPr>
        <w:spacing w:line="600" w:lineRule="exact"/>
        <w:ind w:firstLine="640" w:firstLineChars="200"/>
        <w:rPr>
          <w:rFonts w:hint="eastAsia" w:ascii="方正楷体简体" w:eastAsia="方正楷体简体"/>
          <w:sz w:val="32"/>
          <w:szCs w:val="32"/>
        </w:rPr>
      </w:pPr>
      <w:r>
        <w:rPr>
          <w:rFonts w:hint="eastAsia" w:ascii="方正楷体简体" w:eastAsia="方正楷体简体"/>
          <w:sz w:val="32"/>
          <w:szCs w:val="32"/>
        </w:rPr>
        <w:t>（二）存在的问题及原因分析</w:t>
      </w:r>
    </w:p>
    <w:p>
      <w:pPr>
        <w:spacing w:line="600" w:lineRule="exact"/>
        <w:ind w:firstLine="620" w:firstLineChars="200"/>
        <w:rPr>
          <w:rFonts w:hint="eastAsia" w:ascii="Times New Roman" w:hAnsi="Times New Roman" w:eastAsia="方正仿宋_GBK" w:cs="Times New Roman"/>
          <w:color w:val="auto"/>
          <w:sz w:val="31"/>
          <w:szCs w:val="31"/>
          <w:lang w:eastAsia="zh-CN"/>
        </w:rPr>
      </w:pPr>
      <w:r>
        <w:rPr>
          <w:rFonts w:hint="default" w:ascii="Times New Roman" w:hAnsi="Times New Roman" w:eastAsia="方正仿宋_GBK" w:cs="Times New Roman"/>
          <w:color w:val="auto"/>
          <w:sz w:val="31"/>
          <w:szCs w:val="31"/>
        </w:rPr>
        <w:t>1、预算绩效管理水平仍有欠缺。在202</w:t>
      </w:r>
      <w:r>
        <w:rPr>
          <w:rFonts w:hint="eastAsia" w:eastAsia="方正仿宋_GBK" w:cs="Times New Roman"/>
          <w:color w:val="auto"/>
          <w:sz w:val="31"/>
          <w:szCs w:val="31"/>
          <w:lang w:val="en-US" w:eastAsia="zh-CN"/>
        </w:rPr>
        <w:t>3</w:t>
      </w:r>
      <w:r>
        <w:rPr>
          <w:rFonts w:hint="default" w:ascii="Times New Roman" w:hAnsi="Times New Roman" w:eastAsia="方正仿宋_GBK" w:cs="Times New Roman"/>
          <w:color w:val="auto"/>
          <w:sz w:val="31"/>
          <w:szCs w:val="31"/>
        </w:rPr>
        <w:t>年预算绩效管理工作中，对全面实施预算绩效管理的要求认识还不到位，项目申报、实施等环节与预算绩效管理各个环节联系不够紧密；同时</w:t>
      </w:r>
      <w:r>
        <w:rPr>
          <w:rFonts w:hint="eastAsia"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专业人手不足、绩效管理</w:t>
      </w:r>
      <w:r>
        <w:rPr>
          <w:rFonts w:hint="eastAsia" w:eastAsia="方正仿宋_GBK" w:cs="Times New Roman"/>
          <w:color w:val="auto"/>
          <w:sz w:val="31"/>
          <w:szCs w:val="31"/>
          <w:lang w:eastAsia="zh-CN"/>
        </w:rPr>
        <w:t>能力较为</w:t>
      </w:r>
      <w:r>
        <w:rPr>
          <w:rFonts w:hint="default" w:ascii="Times New Roman" w:hAnsi="Times New Roman" w:eastAsia="方正仿宋_GBK" w:cs="Times New Roman"/>
          <w:color w:val="auto"/>
          <w:sz w:val="31"/>
          <w:szCs w:val="31"/>
        </w:rPr>
        <w:t>欠缺</w:t>
      </w:r>
      <w:r>
        <w:rPr>
          <w:rFonts w:hint="eastAsia" w:eastAsia="方正仿宋_GBK" w:cs="Times New Roman"/>
          <w:color w:val="auto"/>
          <w:sz w:val="31"/>
          <w:szCs w:val="31"/>
          <w:lang w:eastAsia="zh-CN"/>
        </w:rPr>
        <w:t>。</w:t>
      </w:r>
    </w:p>
    <w:p>
      <w:pPr>
        <w:spacing w:line="600" w:lineRule="exact"/>
        <w:ind w:firstLine="620" w:firstLineChars="200"/>
        <w:rPr>
          <w:rFonts w:hint="default" w:ascii="Times New Roman" w:hAnsi="Times New Roman" w:eastAsia="方正仿宋_GBK" w:cs="Times New Roman"/>
          <w:color w:val="auto"/>
          <w:sz w:val="31"/>
          <w:szCs w:val="31"/>
        </w:rPr>
      </w:pPr>
      <w:r>
        <w:rPr>
          <w:rFonts w:hint="default" w:ascii="Times New Roman" w:hAnsi="Times New Roman" w:eastAsia="方正仿宋_GBK" w:cs="Times New Roman"/>
          <w:color w:val="auto"/>
          <w:sz w:val="31"/>
          <w:szCs w:val="31"/>
        </w:rPr>
        <w:t>2、绩效指标目标值及指标体系的设定有待进一步科学及合理化。项目的年度绩效目标和预期产出或效果等细化、量化的绩效指标数值不够具体、明确。</w:t>
      </w:r>
    </w:p>
    <w:p>
      <w:pPr>
        <w:numPr>
          <w:ilvl w:val="0"/>
          <w:numId w:val="0"/>
        </w:numPr>
        <w:spacing w:line="600" w:lineRule="exact"/>
        <w:rPr>
          <w:rFonts w:hint="eastAsia" w:ascii="黑体" w:hAnsi="黑体" w:eastAsia="黑体"/>
          <w:sz w:val="32"/>
          <w:szCs w:val="32"/>
        </w:rPr>
      </w:pPr>
      <w:r>
        <w:rPr>
          <w:rFonts w:hint="eastAsia" w:ascii="黑体" w:hAnsi="黑体" w:eastAsia="黑体"/>
          <w:sz w:val="32"/>
          <w:szCs w:val="32"/>
          <w:lang w:eastAsia="zh-CN"/>
        </w:rPr>
        <w:t>　　七、</w:t>
      </w:r>
      <w:r>
        <w:rPr>
          <w:rFonts w:hint="eastAsia" w:ascii="黑体" w:hAnsi="黑体" w:eastAsia="黑体"/>
          <w:sz w:val="32"/>
          <w:szCs w:val="32"/>
        </w:rPr>
        <w:t>有关建议</w:t>
      </w:r>
    </w:p>
    <w:p>
      <w:pPr>
        <w:spacing w:line="600" w:lineRule="exact"/>
        <w:ind w:firstLine="620" w:firstLineChars="200"/>
        <w:rPr>
          <w:rFonts w:hint="eastAsia" w:eastAsia="方正仿宋_GBK" w:cs="Times New Roman"/>
          <w:color w:val="auto"/>
          <w:sz w:val="31"/>
          <w:szCs w:val="31"/>
          <w:lang w:val="en-US" w:eastAsia="zh-CN"/>
        </w:rPr>
      </w:pPr>
      <w:r>
        <w:rPr>
          <w:rFonts w:hint="eastAsia" w:eastAsia="方正仿宋_GBK" w:cs="Times New Roman"/>
          <w:color w:val="auto"/>
          <w:sz w:val="31"/>
          <w:szCs w:val="31"/>
          <w:lang w:val="en-US" w:eastAsia="zh-CN"/>
        </w:rPr>
        <w:t>1、加强单位绩效工作人员对</w:t>
      </w:r>
      <w:r>
        <w:rPr>
          <w:rFonts w:hint="default" w:ascii="Times New Roman" w:hAnsi="Times New Roman" w:eastAsia="方正仿宋_GBK" w:cs="Times New Roman"/>
          <w:color w:val="auto"/>
          <w:sz w:val="31"/>
          <w:szCs w:val="31"/>
          <w:lang w:val="en-US" w:eastAsia="zh-CN"/>
        </w:rPr>
        <w:t>绩效管理工作方面的培训，</w:t>
      </w:r>
      <w:r>
        <w:rPr>
          <w:rFonts w:hint="eastAsia" w:eastAsia="方正仿宋_GBK" w:cs="Times New Roman"/>
          <w:color w:val="auto"/>
          <w:sz w:val="31"/>
          <w:szCs w:val="31"/>
          <w:lang w:val="en-US" w:eastAsia="zh-CN"/>
        </w:rPr>
        <w:t>提高对全面实施预算绩效管理的认识</w:t>
      </w:r>
      <w:r>
        <w:rPr>
          <w:rFonts w:hint="default" w:ascii="Times New Roman" w:hAnsi="Times New Roman" w:eastAsia="方正仿宋_GBK" w:cs="Times New Roman"/>
          <w:color w:val="auto"/>
          <w:sz w:val="31"/>
          <w:szCs w:val="31"/>
          <w:lang w:val="en-US" w:eastAsia="zh-CN"/>
        </w:rPr>
        <w:t>，进一步夯实业务基础，提高我单位绩效管理工作</w:t>
      </w:r>
      <w:r>
        <w:rPr>
          <w:rFonts w:hint="eastAsia" w:eastAsia="方正仿宋_GBK" w:cs="Times New Roman"/>
          <w:color w:val="auto"/>
          <w:sz w:val="31"/>
          <w:szCs w:val="31"/>
          <w:lang w:val="en-US" w:eastAsia="zh-CN"/>
        </w:rPr>
        <w:t>。</w:t>
      </w:r>
    </w:p>
    <w:p>
      <w:pPr>
        <w:spacing w:line="600" w:lineRule="exact"/>
        <w:ind w:firstLine="620" w:firstLineChars="200"/>
        <w:rPr>
          <w:rFonts w:hint="default" w:eastAsia="方正仿宋_GBK" w:cs="Times New Roman"/>
          <w:color w:val="auto"/>
          <w:sz w:val="31"/>
          <w:szCs w:val="31"/>
          <w:lang w:val="en-US" w:eastAsia="zh-CN"/>
        </w:rPr>
      </w:pPr>
      <w:r>
        <w:rPr>
          <w:rFonts w:hint="eastAsia" w:eastAsia="方正仿宋_GBK" w:cs="Times New Roman"/>
          <w:color w:val="auto"/>
          <w:sz w:val="31"/>
          <w:szCs w:val="31"/>
          <w:lang w:val="en-US" w:eastAsia="zh-CN"/>
        </w:rPr>
        <w:t>2、进一步提高项目绩效目标设置水平，进一步夯实绩效管理基础工作，扎实提高业务经办的技术水平，扎扎实实对绩效目标指标设置、监控、自评等工作进行系统性学习，提高绩效指标设置的合理性、关联性，提高绩效管理基础工作水平。</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、其他需要说明的问题</w:t>
      </w:r>
    </w:p>
    <w:p>
      <w:pPr>
        <w:spacing w:line="600" w:lineRule="exact"/>
        <w:ind w:firstLine="640" w:firstLineChars="200"/>
        <w:rPr>
          <w:sz w:val="32"/>
          <w:szCs w:val="32"/>
        </w:rPr>
      </w:pPr>
      <w:r>
        <w:rPr>
          <w:rFonts w:hint="eastAsia" w:ascii="方正仿宋_GBK" w:hAnsi="方正仿宋_GBK" w:eastAsia="方正仿宋_GBK" w:cs="方正仿宋_GBK"/>
          <w:color w:val="auto"/>
          <w:sz w:val="32"/>
          <w:szCs w:val="32"/>
          <w:lang w:eastAsia="zh-CN"/>
        </w:rPr>
        <w:t>无</w:t>
      </w:r>
      <w:bookmarkStart w:id="0" w:name="_GoBack"/>
      <w:bookmarkEnd w:id="0"/>
    </w:p>
    <w:sectPr>
      <w:pgSz w:w="11906" w:h="16838"/>
      <w:pgMar w:top="1928" w:right="1531" w:bottom="1701" w:left="1531" w:header="737" w:footer="85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869F61-3361-4173-B2DC-50AE3580AD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embedRegular r:id="rId2" w:fontKey="{DCAE8849-62AF-4C78-AE34-7C3939143352}"/>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embedRegular r:id="rId3" w:fontKey="{96CDA680-12AE-4996-BBF0-A08E2D756842}"/>
  </w:font>
  <w:font w:name="方正仿宋简体">
    <w:altName w:val="方正仿宋_GBK"/>
    <w:panose1 w:val="02000000000000000000"/>
    <w:charset w:val="86"/>
    <w:family w:val="script"/>
    <w:pitch w:val="default"/>
    <w:sig w:usb0="00000000" w:usb1="00000000" w:usb2="00000012" w:usb3="00000000" w:csb0="00040001" w:csb1="00000000"/>
    <w:embedRegular r:id="rId4" w:fontKey="{92708855-CEC6-47FC-9FF5-215D9E08DA17}"/>
  </w:font>
  <w:font w:name="方正仿宋_GBK">
    <w:panose1 w:val="03000509000000000000"/>
    <w:charset w:val="86"/>
    <w:family w:val="auto"/>
    <w:pitch w:val="default"/>
    <w:sig w:usb0="00000001" w:usb1="080E0000" w:usb2="00000000" w:usb3="00000000" w:csb0="00040000" w:csb1="00000000"/>
    <w:embedRegular r:id="rId5" w:fontKey="{60E4F3BA-CFD2-4D0B-8BB5-1B6F2D80AE2A}"/>
  </w:font>
  <w:font w:name="方正楷体简体">
    <w:altName w:val="方正楷体_GBK"/>
    <w:panose1 w:val="02000000000000000000"/>
    <w:charset w:val="86"/>
    <w:family w:val="script"/>
    <w:pitch w:val="default"/>
    <w:sig w:usb0="00000000" w:usb1="00000000" w:usb2="00000000" w:usb3="00000000" w:csb0="00000000" w:csb1="00000000"/>
    <w:embedRegular r:id="rId6" w:fontKey="{60F5C5CD-ACC5-4B31-AC82-B2EE325788E2}"/>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DBE57"/>
    <w:multiLevelType w:val="singleLevel"/>
    <w:tmpl w:val="C2CDBE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OTIwZjc5YmU2ZTY5MjQ2MTljMmZlZWEzNGY0OTAifQ=="/>
  </w:docVars>
  <w:rsids>
    <w:rsidRoot w:val="007D49C5"/>
    <w:rsid w:val="000D63FA"/>
    <w:rsid w:val="00121139"/>
    <w:rsid w:val="003237BF"/>
    <w:rsid w:val="005B64E8"/>
    <w:rsid w:val="00614288"/>
    <w:rsid w:val="0070365B"/>
    <w:rsid w:val="00792CFE"/>
    <w:rsid w:val="007D49C5"/>
    <w:rsid w:val="008175E0"/>
    <w:rsid w:val="008C631D"/>
    <w:rsid w:val="00A114ED"/>
    <w:rsid w:val="00B24331"/>
    <w:rsid w:val="00B5607A"/>
    <w:rsid w:val="00B6598D"/>
    <w:rsid w:val="00D5630F"/>
    <w:rsid w:val="00FE2219"/>
    <w:rsid w:val="02BA7935"/>
    <w:rsid w:val="03636302"/>
    <w:rsid w:val="05763D28"/>
    <w:rsid w:val="0DDF720F"/>
    <w:rsid w:val="11267DE6"/>
    <w:rsid w:val="16D217EE"/>
    <w:rsid w:val="1B9D64DE"/>
    <w:rsid w:val="1C2B2DB0"/>
    <w:rsid w:val="1DB6DAED"/>
    <w:rsid w:val="1E2C1E8E"/>
    <w:rsid w:val="1FBF36CE"/>
    <w:rsid w:val="220709ED"/>
    <w:rsid w:val="2BBD6FA9"/>
    <w:rsid w:val="2FFFD860"/>
    <w:rsid w:val="36B72533"/>
    <w:rsid w:val="37F2722D"/>
    <w:rsid w:val="3ABC26CD"/>
    <w:rsid w:val="3B2D02A7"/>
    <w:rsid w:val="3B88395B"/>
    <w:rsid w:val="3BA31497"/>
    <w:rsid w:val="3BFA51EF"/>
    <w:rsid w:val="425E5589"/>
    <w:rsid w:val="43D40744"/>
    <w:rsid w:val="47AB5AE6"/>
    <w:rsid w:val="47FFF0E0"/>
    <w:rsid w:val="49E35145"/>
    <w:rsid w:val="4A3FD35D"/>
    <w:rsid w:val="4B3D2633"/>
    <w:rsid w:val="4B4E5F11"/>
    <w:rsid w:val="4B7F0031"/>
    <w:rsid w:val="4F860B55"/>
    <w:rsid w:val="53432D48"/>
    <w:rsid w:val="56796849"/>
    <w:rsid w:val="5765E9B3"/>
    <w:rsid w:val="577FEDAE"/>
    <w:rsid w:val="57AC26C4"/>
    <w:rsid w:val="5BD7767D"/>
    <w:rsid w:val="5C2C0A74"/>
    <w:rsid w:val="5DA95371"/>
    <w:rsid w:val="5DE52B84"/>
    <w:rsid w:val="5E2D1621"/>
    <w:rsid w:val="5F6A602B"/>
    <w:rsid w:val="5FDF6617"/>
    <w:rsid w:val="5FEAFDAA"/>
    <w:rsid w:val="60377424"/>
    <w:rsid w:val="605D1766"/>
    <w:rsid w:val="689A586C"/>
    <w:rsid w:val="6F36DA10"/>
    <w:rsid w:val="6FBFAEB1"/>
    <w:rsid w:val="6FFF4318"/>
    <w:rsid w:val="71DF3E4F"/>
    <w:rsid w:val="733826C1"/>
    <w:rsid w:val="75760B39"/>
    <w:rsid w:val="79343D4A"/>
    <w:rsid w:val="7D3B30DC"/>
    <w:rsid w:val="7D96C429"/>
    <w:rsid w:val="7DF4313C"/>
    <w:rsid w:val="7ED7C11A"/>
    <w:rsid w:val="7F5A0E9E"/>
    <w:rsid w:val="7F9BA0C9"/>
    <w:rsid w:val="8FB7C476"/>
    <w:rsid w:val="BFF78001"/>
    <w:rsid w:val="BFFBC39A"/>
    <w:rsid w:val="CDE236EA"/>
    <w:rsid w:val="D3FD70F2"/>
    <w:rsid w:val="DDAF35A9"/>
    <w:rsid w:val="DFDD7823"/>
    <w:rsid w:val="EEFFBEEF"/>
    <w:rsid w:val="EFFD336B"/>
    <w:rsid w:val="F5351654"/>
    <w:rsid w:val="F5641F6A"/>
    <w:rsid w:val="FBFE7283"/>
    <w:rsid w:val="FDDF21A7"/>
    <w:rsid w:val="FF2DE329"/>
    <w:rsid w:val="FFB7497A"/>
    <w:rsid w:val="FFBE1CED"/>
    <w:rsid w:val="FFBF58EB"/>
    <w:rsid w:val="FFFB2E46"/>
    <w:rsid w:val="FFFD8304"/>
    <w:rsid w:val="FFFF5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Char"/>
    <w:basedOn w:val="9"/>
    <w:link w:val="2"/>
    <w:qFormat/>
    <w:uiPriority w:val="9"/>
    <w:rPr>
      <w:rFonts w:ascii="Times New Roman" w:hAnsi="Times New Roman" w:eastAsia="仿宋_GB2312" w:cs="Times New Roman"/>
      <w:b/>
      <w:bCs/>
      <w:kern w:val="44"/>
      <w:sz w:val="44"/>
      <w:szCs w:val="44"/>
    </w:rPr>
  </w:style>
  <w:style w:type="character" w:customStyle="1" w:styleId="12">
    <w:name w:val="标题 2 Char"/>
    <w:basedOn w:val="9"/>
    <w:link w:val="3"/>
    <w:qFormat/>
    <w:uiPriority w:val="9"/>
    <w:rPr>
      <w:rFonts w:asciiTheme="majorHAnsi" w:hAnsiTheme="majorHAnsi" w:eastAsiaTheme="majorEastAsia" w:cstheme="majorBidi"/>
      <w:b/>
      <w:bCs/>
      <w:sz w:val="32"/>
      <w:szCs w:val="32"/>
    </w:r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4">
    <w:name w:val="页眉 Char"/>
    <w:basedOn w:val="9"/>
    <w:link w:val="5"/>
    <w:semiHidden/>
    <w:qFormat/>
    <w:uiPriority w:val="99"/>
    <w:rPr>
      <w:rFonts w:ascii="Times New Roman" w:hAnsi="Times New Roman" w:eastAsia="仿宋_GB2312" w:cs="Times New Roman"/>
      <w:sz w:val="18"/>
      <w:szCs w:val="18"/>
    </w:rPr>
  </w:style>
  <w:style w:type="character" w:customStyle="1" w:styleId="15">
    <w:name w:val="页脚 Char"/>
    <w:basedOn w:val="9"/>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5146</Words>
  <Characters>5355</Characters>
  <Lines>39</Lines>
  <Paragraphs>11</Paragraphs>
  <TotalTime>15</TotalTime>
  <ScaleCrop>false</ScaleCrop>
  <LinksUpToDate>false</LinksUpToDate>
  <CharactersWithSpaces>5366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2021-04-08T08:01:00Z</dcterms:created>
  <dc:creator>翘楚</dc:creator>
  <cp:lastModifiedBy>Administrator</cp:lastModifiedBy>
  <cp:lastPrinted>2024-04-17T09:56:11Z</cp:lastPrinted>
  <dcterms:modified xsi:type="dcterms:W3CDTF">2024-04-17T10:01:00Z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24C7DCF2FCC04652A73275B4F35E42AE</vt:lpwstr>
  </property>
</Properties>
</file>