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4"/>
          <w:szCs w:val="44"/>
          <w:lang w:eastAsia="zh-CN"/>
        </w:rPr>
        <w:t>博湖县应急管理局</w:t>
      </w:r>
      <w:r>
        <w:rPr>
          <w:rFonts w:hint="eastAsia" w:ascii="方正小标宋_GBK" w:hAnsi="方正小标宋_GBK" w:eastAsia="方正小标宋_GBK" w:cs="方正小标宋_GBK"/>
          <w:sz w:val="40"/>
          <w:szCs w:val="40"/>
        </w:rPr>
        <w:t>危险化学品经营许可</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spacing w:line="560" w:lineRule="exact"/>
        <w:ind w:firstLine="614" w:firstLineChars="192"/>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《危险化学品安全管理条例》（中华人民共和国国务院令第</w:t>
      </w:r>
      <w:r>
        <w:rPr>
          <w:rFonts w:ascii="方正仿宋_GBK" w:hAnsi="方正仿宋_GBK" w:eastAsia="方正仿宋_GBK" w:cs="方正仿宋_GBK"/>
          <w:sz w:val="32"/>
          <w:szCs w:val="32"/>
        </w:rPr>
        <w:t>591</w:t>
      </w:r>
      <w:r>
        <w:rPr>
          <w:rFonts w:hint="eastAsia" w:ascii="方正仿宋_GBK" w:hAnsi="方正仿宋_GBK" w:eastAsia="方正仿宋_GBK" w:cs="方正仿宋_GBK"/>
          <w:sz w:val="32"/>
          <w:szCs w:val="32"/>
        </w:rPr>
        <w:t>号）第三十三条：“国家对危险化学品经营（包括仓储经营，下同）实行许可制度。未经许可，任何单位和个人不得经营危险化学品。”</w:t>
      </w:r>
    </w:p>
    <w:p>
      <w:pPr>
        <w:spacing w:line="56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日内作出批准或者不予批准的决定。予以批准的，颁发危险化学品经营许可证；不予批准的，书面通知申请人并说明理由。”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事危险化学品经营的企业应当具备下列条件：（一）有符合国家标准、行业标准的经营场所，储存危险化学品的，还应当有符合国家标准、行业标准的储存设施；（二）从业人员经过专业技术培训并经考核合格；（三）有健全的安全管理规章制度；（四）有专职安全管理人员；（五）有符合国家规定的危险化学品事故应急预案和必要的应急救援器材、设备；（六）法律、法规规定的其他条件如：为从业人员办理工伤保险或安全生产责任保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1、申请经营许可证的文件及申请书(1份)；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2、安全生产规章制度和岗位操作规程(1份)；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3、企业主要负责人、安全生产管理人员、特种作业人员的相关资格证书和其他从业人员培训合格的证明材料（复印件）(1份)；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4、经营场所产权证明文件或者租赁证明文件（复印件）(1份)；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5、工商行政管理部门颁发的企业性质营业执照或者企业名称预先核准文件（复印件）(1份)；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bCs/>
          <w:i w:val="0"/>
          <w:iCs w:val="0"/>
          <w:caps w:val="0"/>
          <w:color w:val="FF0000"/>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6、危险化学品事故应急预案备案登记表(1份)。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lang w:val="en-US"/>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316" o:spid="_x0000_s1316" o:spt="75" type="#_x0000_t75" style="position:absolute;left:0pt;margin-left:36.85pt;margin-top:-19.3pt;height:172.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bookmarkStart w:id="0" w:name="_GoBack"/>
      <w:bookmarkEnd w:id="0"/>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资料齐全并符合所有条件者在3个工作日作出准予许可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579B718A"/>
    <w:rsid w:val="614836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316"/>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2022-08-16T10:56:35Z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157263360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b808c-e631-43bc-bebe-71996376426c}">
  <ds:schemaRefs/>
</ds:datastoreItem>
</file>

<file path=customXml/itemProps3.xml><?xml version="1.0" encoding="utf-8"?>
<ds:datastoreItem xmlns:ds="http://schemas.openxmlformats.org/officeDocument/2006/customXml" ds:itemID="{2de62868-1d57-486d-b955-abd7afe413d3}">
  <ds:schemaRefs/>
</ds:datastoreItem>
</file>

<file path=customXml/itemProps4.xml><?xml version="1.0" encoding="utf-8"?>
<ds:datastoreItem xmlns:ds="http://schemas.openxmlformats.org/officeDocument/2006/customXml" ds:itemID="{bc199e46-c293-430a-bd80-0c9b14768275}">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982</Words>
  <Characters>1039</Characters>
  <Lines>0</Lines>
  <Paragraphs>0</Paragraphs>
  <TotalTime>157263449</TotalTime>
  <ScaleCrop>false</ScaleCrop>
  <LinksUpToDate>false</LinksUpToDate>
  <CharactersWithSpaces>1039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2022-12-08T07:28:47Z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1B8801D947DA4892847804268EF5C8ED</vt:lpwstr>
  </property>
</Properties>
</file>