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4626"/>
      <w:bookmarkStart w:id="1" w:name="_Toc10269_WPSOffice_Level2"/>
      <w:bookmarkStart w:id="2" w:name="_Toc9334_WPSOffice_Level2"/>
      <w:r>
        <w:rPr>
          <w:rFonts w:hint="eastAsia" w:ascii="方正小标宋_GBK" w:hAnsi="方正小标宋_GBK" w:eastAsia="方正小标宋_GBK" w:cs="方正小标宋_GBK"/>
          <w:b w:val="0"/>
          <w:bCs w:val="0"/>
          <w:color w:val="000000"/>
          <w:kern w:val="24"/>
          <w:sz w:val="40"/>
          <w:szCs w:val="40"/>
        </w:rPr>
        <w:t>逾期增值税抵扣凭证抵扣申请</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逾期增值税抵扣凭证抵扣申请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《国家税务总局关于修订&lt;增值税专用发票使用规定&gt;的通知》（国税发〔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156</w:t>
      </w:r>
      <w:r>
        <w:rPr>
          <w:rFonts w:hint="default" w:ascii="Times New Roman" w:hAnsi="Times New Roman" w:eastAsia="仿宋_GB2312" w:cs="Times New Roman"/>
          <w:b w:val="0"/>
          <w:bCs w:val="0"/>
          <w:color w:val="000000"/>
          <w:sz w:val="32"/>
          <w:szCs w:val="32"/>
        </w:rPr>
        <w:t>号）第二十五条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《国家税务总局关于逾期增值税扣税凭证抵扣问题的公告》（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2011</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日国家税务总局公告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2011</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号公布，根据</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日《国家税务总局关于进一步优化增值税、消费税有关涉税事项办理程序的公告》修正）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《国家税务总局关于进一步优化增值税、消费税有关涉税事项办理程序的公告》（国家税务总局公告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号）第一条、第三条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《逾期增值税扣税凭证抵扣申请单》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增值税扣税凭证逾期情况说明</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逾期增值税扣税凭证电子信息</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逾期增值税扣税凭证复印件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62"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客观原因涉及第三方</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第三方证明或说明</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办理时限由省级税务机关确定。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68" name="_x0000_i385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_x0000_i3854"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逾期增值税扣税凭证复印件必须整洁、清晰，在凭证备注栏注明“与原件一致”并签章，增值税专用发票复印件必须裁剪成与原票大小一致。</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客观原因包括如下类型：</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）因自然灾害、社会突发事件等不可抗力因素造成增值税扣税凭证逾期；</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）增值税扣税凭证被盗、抢，或者因邮寄丢失、误递导致逾期；</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）有关司法、行政机关在办理业务或者检查中，扣押增值税扣税凭证，纳税人不能正常履行申报义务，或者税务机关信息系统、网络故障，未能及时处理纳税人网上认证数据等导致增值税扣税凭证逾期；</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）买卖双方因经济纠纷，未能及时传递增值税扣税凭证，或者纳税人变更纳税地点，注销旧户和重新办理税务登记的时间过长，导致增值税扣税凭证逾期；</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）由于企业办税人员伤亡、突发危重疾病或者擅自离职，未能办理交接手续，导致增值税扣税凭证逾期；</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）国家税务总局规定的其他情形。</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增值税一般纳税人由于除上述客观原因以外的其他原因造成增值税扣税凭证逾期的，仍应按照增值税扣税凭证抵扣期限有关规定执行。</w:t>
      </w:r>
    </w:p>
    <w:p>
      <w:pPr>
        <w:numPr>
          <w:ilvl w:val="0"/>
          <w:numId w:val="0"/>
        </w:numPr>
        <w:wordWrap w:val="0"/>
        <w:spacing w:line="360" w:lineRule="auto"/>
        <w:ind w:firstLine="640" w:firstLineChars="200"/>
        <w:jc w:val="left"/>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shd w:val="clear" w:color="auto" w:fill="FFFFFF"/>
        </w:rPr>
        <w:t>增值税扣税凭证逾期情况说明。纳税人应详细说明未能按期办理认证或者申请稽核比对的原因，并加盖企业公章。</w:t>
      </w:r>
    </w:p>
    <w:p>
      <w:pPr>
        <w:numPr>
          <w:ilvl w:val="0"/>
          <w:numId w:val="0"/>
        </w:numPr>
        <w:wordWrap w:val="0"/>
        <w:spacing w:line="360" w:lineRule="auto"/>
        <w:ind w:firstLine="480"/>
        <w:jc w:val="left"/>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pPr>
        <w:numPr>
          <w:ilvl w:val="0"/>
          <w:numId w:val="0"/>
        </w:numPr>
        <w:wordWrap w:val="0"/>
        <w:spacing w:line="360" w:lineRule="auto"/>
        <w:ind w:firstLine="480"/>
        <w:jc w:val="left"/>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递导致增值税扣税凭证逾期的，应提供邮政单位出具的说明。</w:t>
      </w:r>
    </w:p>
    <w:p>
      <w:pPr>
        <w:numPr>
          <w:ilvl w:val="0"/>
          <w:numId w:val="0"/>
        </w:numPr>
        <w:wordWrap w:val="0"/>
        <w:spacing w:line="360" w:lineRule="auto"/>
        <w:ind w:firstLine="480"/>
        <w:jc w:val="left"/>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由于税务机关自身原因造成纳税人增值税扣税凭证逾期的，主管税务机关在上报文件中说明相关情况。具体为，税务机关信息系统或者网络故障，未能及时处理纳税人网上认证数据的，主管税务机关详细说明信息系统或网络故障出现、持续的时间，故障原因及表现等。</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）纳税人逾期增值税抵扣凭证抵扣申请需要逐级上报至省级税务机关，省级税务机关负责完成发票抵扣联的认证和稽核比对。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稽核比对结果相符的，允许纳税人继续抵扣逾期增值税扣税凭证上所注明或计算的税额。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5CE20"/>
    <w:multiLevelType w:val="singleLevel"/>
    <w:tmpl w:val="FA65CE2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57C16A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776C4BA8576A49338AC09DA99164710B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2022-08-24T05:23:00Z</dcterms:created>
  <dc:creator>123</dc:creator>
  <cp:lastModifiedBy>123</cp:lastModifiedBy>
  <dcterms:modified xsi:type="dcterms:W3CDTF">2022-08-24T05:24:01Z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776C4BA8576A49338AC09DA99164710B</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2022-08-24T05:23:00Z</dcterms:created>
  <dcterms:modified xsi:type="dcterms:W3CDTF">2022-08-24T05:24:01Z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fb6b-e10c-4ede-b903-e9b10a38352f}">
  <ds:schemaRefs/>
</ds:datastoreItem>
</file>

<file path=customXml/itemProps3.xml><?xml version="1.0" encoding="utf-8"?>
<ds:datastoreItem xmlns:ds="http://schemas.openxmlformats.org/officeDocument/2006/customXml" ds:itemID="{304f9282-6330-4256-995f-ba345c55fcc8}">
  <ds:schemaRefs/>
</ds:datastoreItem>
</file>

<file path=customXml/itemProps4.xml><?xml version="1.0" encoding="utf-8"?>
<ds:datastoreItem xmlns:ds="http://schemas.openxmlformats.org/officeDocument/2006/customXml" ds:itemID="{95de8707-1ea3-4e7d-a33c-7bdc065ebe84}">
  <ds:schemaRefs/>
</ds:datastoreItem>
</file>

<file path=customXml/itemProps5.xml><?xml version="1.0" encoding="utf-8"?>
<ds:datastoreItem xmlns:ds="http://schemas.openxmlformats.org/officeDocument/2006/customXml" ds:itemID="{be78fd7f-1f1d-4093-844e-971d4b0a8f6c}">
  <ds:schemaRefs/>
</ds:datastoreItem>
</file>

<file path=customXml/itemProps6.xml><?xml version="1.0" encoding="utf-8"?>
<ds:datastoreItem xmlns:ds="http://schemas.openxmlformats.org/officeDocument/2006/customXml" ds:itemID="{225dae08-8c8c-4c3a-870d-10b08be91c25}">
  <ds:schemaRefs/>
</ds:datastoreItem>
</file>

<file path=customXml/itemProps7.xml><?xml version="1.0" encoding="utf-8"?>
<ds:datastoreItem xmlns:ds="http://schemas.openxmlformats.org/officeDocument/2006/customXml" ds:itemID="{9ce1c7c7-5530-4ca0-8e5f-915d8ddcee5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2022-08-24T05:23:00Z</dcterms:created>
  <dc:creator>123</dc:creator>
  <cp:lastModifiedBy>Administrator</cp:lastModifiedBy>
  <dcterms:modified xsi:type="dcterms:W3CDTF">2022-08-25T09:45:35Z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