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20"/>
      <w:r>
        <w:rPr>
          <w:rFonts w:hint="eastAsia" w:ascii="方正小标宋_GBK" w:hAnsi="方正小标宋_GBK" w:eastAsia="方正小标宋_GBK" w:cs="方正小标宋_GBK"/>
          <w:b w:val="0"/>
          <w:bCs w:val="0"/>
          <w:color w:val="000000"/>
          <w:kern w:val="0"/>
          <w:sz w:val="40"/>
          <w:szCs w:val="40"/>
        </w:rPr>
        <w:t>退税商店资格信息报告</w:t>
      </w:r>
      <w:bookmarkEnd w:id="0"/>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【事项名称】</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退税商店资格信息报告</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【业务描述】</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退税商店资格信息报告事项是指在落实境外旅客购物离境退税政策中，向境外旅客销售离境可申请退税物品的企业，向主管税务机关申请退税商店资格备案。</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申请办理退税商店备案企业应满足以下条件：</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aps w:val="0"/>
          <w:smallCaps w:val="0"/>
          <w:shadow/>
          <w:vanish w:val="0"/>
          <w:color w:val="000000"/>
          <w:kern w:val="24"/>
          <w:sz w:val="31"/>
          <w:szCs w:val="31"/>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olor w:val="000000"/>
          <w:kern w:val="24"/>
          <w:sz w:val="31"/>
          <w:szCs w:val="31"/>
        </w:rPr>
        <w:t>具有增值税一般纳税人资格；</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aps w:val="0"/>
          <w:smallCaps w:val="0"/>
          <w:shadow/>
          <w:vanish w:val="0"/>
          <w:color w:val="000000"/>
          <w:kern w:val="24"/>
          <w:sz w:val="31"/>
          <w:szCs w:val="31"/>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1"/>
          <w:szCs w:val="31"/>
        </w:rPr>
        <w:t>）纳税信用级别</w:t>
      </w:r>
      <w:r>
        <w:rPr>
          <w:rFonts w:hint="default" w:ascii="Times New Roman" w:hAnsi="Times New Roman" w:eastAsia="仿宋_GB2312" w:cs="Times New Roman"/>
          <w:b w:val="0"/>
          <w:bCs w:val="0"/>
          <w:color w:val="000000"/>
          <w:kern w:val="24"/>
          <w:sz w:val="31"/>
          <w:szCs w:val="31"/>
        </w:rPr>
        <w:t>在B级以上；</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aps w:val="0"/>
          <w:smallCaps w:val="0"/>
          <w:shadow/>
          <w:vanish w:val="0"/>
          <w:color w:val="000000"/>
          <w:kern w:val="24"/>
          <w:sz w:val="31"/>
          <w:szCs w:val="31"/>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olor w:val="000000"/>
          <w:kern w:val="24"/>
          <w:sz w:val="31"/>
          <w:szCs w:val="31"/>
        </w:rPr>
        <w:t>同意安装、使用离境退税管理系统，并保证系统应当具备的运行条件，能够及时、准确地向主管税务机关报送相关信息；</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aps w:val="0"/>
          <w:smallCaps w:val="0"/>
          <w:shadow/>
          <w:vanish w:val="0"/>
          <w:color w:val="000000"/>
          <w:kern w:val="24"/>
          <w:sz w:val="31"/>
          <w:szCs w:val="31"/>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olor w:val="000000"/>
          <w:kern w:val="24"/>
          <w:sz w:val="31"/>
          <w:szCs w:val="31"/>
        </w:rPr>
        <w:t>已经安装并使用增值税发票系统升级版；</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aps w:val="0"/>
          <w:smallCaps w:val="0"/>
          <w:shadow/>
          <w:vanish w:val="0"/>
          <w:color w:val="000000"/>
          <w:kern w:val="24"/>
          <w:sz w:val="31"/>
          <w:szCs w:val="31"/>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1"/>
          <w:szCs w:val="31"/>
        </w:rPr>
        <w:t>）</w:t>
      </w:r>
      <w:r>
        <w:rPr>
          <w:rFonts w:hint="default" w:ascii="Times New Roman" w:hAnsi="Times New Roman" w:eastAsia="仿宋_GB2312" w:cs="Times New Roman"/>
          <w:b w:val="0"/>
          <w:bCs w:val="0"/>
          <w:color w:val="000000"/>
          <w:kern w:val="24"/>
          <w:sz w:val="31"/>
          <w:szCs w:val="31"/>
        </w:rPr>
        <w:t>同意单独设置退税物品销售明细账，并准确核算。</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24"/>
          <w:sz w:val="31"/>
          <w:szCs w:val="31"/>
        </w:rPr>
        <w:t>退税商店备案资料所载内容发生变化的，应自有关变更之日起</w:t>
      </w:r>
      <w:r>
        <w:rPr>
          <w:rFonts w:hint="default" w:ascii="Times New Roman" w:hAnsi="Times New Roman" w:eastAsia="仿宋_GB2312" w:cs="Times New Roman"/>
          <w:b w:val="0"/>
          <w:bCs w:val="0"/>
          <w:caps w:val="0"/>
          <w:smallCaps w:val="0"/>
          <w:shadow/>
          <w:vanish w:val="0"/>
          <w:color w:val="000000"/>
          <w:kern w:val="24"/>
          <w:sz w:val="31"/>
          <w:szCs w:val="31"/>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1"/>
          <w:szCs w:val="31"/>
        </w:rPr>
        <w:t>日内向主管税务机关办理变更手续。</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【设定依据】</w:t>
      </w:r>
    </w:p>
    <w:p>
      <w:pPr>
        <w:wordWrap w:val="0"/>
        <w:spacing w:line="360" w:lineRule="auto"/>
        <w:ind w:firstLine="480"/>
        <w:rPr>
          <w:rFonts w:hint="default" w:ascii="Times New Roman" w:hAnsi="Times New Roman" w:eastAsia="仿宋_GB2312" w:cs="Times New Roman"/>
          <w:b w:val="0"/>
          <w:bCs w:val="0"/>
          <w:color w:val="000000"/>
          <w:kern w:val="24"/>
          <w:sz w:val="31"/>
          <w:szCs w:val="31"/>
        </w:rPr>
      </w:pPr>
      <w:r>
        <w:rPr>
          <w:rFonts w:hint="default" w:ascii="Times New Roman" w:hAnsi="Times New Roman" w:eastAsia="仿宋_GB2312" w:cs="Times New Roman"/>
          <w:b w:val="0"/>
          <w:bCs w:val="0"/>
          <w:color w:val="000000"/>
          <w:kern w:val="0"/>
          <w:sz w:val="31"/>
          <w:szCs w:val="31"/>
        </w:rPr>
        <w:t>《国家税务总局关于发布〈境外旅客购物离境退税管理办法（试行）〉的公告》（国家税务总局公告</w:t>
      </w: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kern w:val="0"/>
          <w:sz w:val="31"/>
          <w:szCs w:val="31"/>
        </w:rPr>
        <w:t>年第</w:t>
      </w: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41</w:t>
      </w:r>
      <w:r>
        <w:rPr>
          <w:rFonts w:hint="default" w:ascii="Times New Roman" w:hAnsi="Times New Roman" w:eastAsia="仿宋_GB2312" w:cs="Times New Roman"/>
          <w:b w:val="0"/>
          <w:bCs w:val="0"/>
          <w:color w:val="000000"/>
          <w:kern w:val="0"/>
          <w:sz w:val="31"/>
          <w:szCs w:val="31"/>
        </w:rPr>
        <w:t>号）第二章第四条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70"/>
        <w:gridCol w:w="3456"/>
        <w:gridCol w:w="91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序号</w:t>
            </w:r>
          </w:p>
        </w:tc>
        <w:tc>
          <w:tcPr>
            <w:tcW w:w="502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数量</w:t>
            </w:r>
          </w:p>
        </w:tc>
        <w:tc>
          <w:tcPr>
            <w:tcW w:w="154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lang w:eastAsia="zh-CN"/>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1</w:t>
            </w:r>
          </w:p>
        </w:tc>
        <w:tc>
          <w:tcPr>
            <w:tcW w:w="502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《境外旅客购物离境退税商店备案表》及电子数据</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1"/>
                <w:szCs w:val="31"/>
              </w:rPr>
              <w:t>份</w:t>
            </w:r>
          </w:p>
        </w:tc>
        <w:tc>
          <w:tcPr>
            <w:tcW w:w="15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电子数据</w:t>
            </w: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1"/>
                <w:szCs w:val="3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50"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适用情形</w:t>
            </w:r>
          </w:p>
        </w:tc>
        <w:tc>
          <w:tcPr>
            <w:tcW w:w="3456"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材料名称</w:t>
            </w:r>
          </w:p>
        </w:tc>
        <w:tc>
          <w:tcPr>
            <w:tcW w:w="912"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数量</w:t>
            </w:r>
          </w:p>
        </w:tc>
        <w:tc>
          <w:tcPr>
            <w:tcW w:w="1546"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exact"/>
          <w:jc w:val="center"/>
        </w:trPr>
        <w:tc>
          <w:tcPr>
            <w:tcW w:w="225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申请退税商店备案</w:t>
            </w:r>
          </w:p>
        </w:tc>
        <w:tc>
          <w:tcPr>
            <w:tcW w:w="3456"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同意做到“安装、使用离境退税管理系统，并保证系统应当具备的运行条件，能够及时、准确地向主管税务机关报送相关信息”及“同意单独设置退税物品销售明细账，并准确核算”的书面同意书</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1"/>
                <w:szCs w:val="31"/>
              </w:rPr>
              <w:t>份</w:t>
            </w:r>
          </w:p>
        </w:tc>
        <w:tc>
          <w:tcPr>
            <w:tcW w:w="154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25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申请退税商店备案变更</w:t>
            </w:r>
          </w:p>
        </w:tc>
        <w:tc>
          <w:tcPr>
            <w:tcW w:w="3456"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备案资料内容发生变化的相关证件及资料</w:t>
            </w:r>
            <w:r>
              <w:rPr>
                <w:rFonts w:hint="default" w:ascii="Times New Roman" w:hAnsi="Times New Roman" w:eastAsia="仿宋_GB2312" w:cs="Times New Roman"/>
                <w:b w:val="0"/>
                <w:bCs w:val="0"/>
                <w:color w:val="000000"/>
                <w:kern w:val="0"/>
                <w:sz w:val="31"/>
                <w:szCs w:val="31"/>
              </w:rPr>
              <w:t>复印件</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1"/>
                <w:szCs w:val="31"/>
              </w:rPr>
              <w:t>份</w:t>
            </w:r>
          </w:p>
        </w:tc>
        <w:tc>
          <w:tcPr>
            <w:tcW w:w="154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1"/>
                <w:szCs w:val="31"/>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【办理地点】</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可通过办税服务厅（场所）、电子税务局办理，</w:t>
      </w:r>
      <w:r>
        <w:rPr>
          <w:rFonts w:hint="default" w:ascii="Times New Roman" w:hAnsi="Times New Roman" w:eastAsia="仿宋_GB2312" w:cs="Times New Roman"/>
          <w:b w:val="0"/>
          <w:bCs w:val="0"/>
          <w:color w:val="000000"/>
          <w:kern w:val="0"/>
          <w:sz w:val="31"/>
          <w:szCs w:val="31"/>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【办理机构】</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【收费标准】</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【办理时间】</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主管税务机关受理后应当在</w:t>
      </w: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1"/>
          <w:szCs w:val="31"/>
        </w:rPr>
        <w:t>个工作日内逐级报送至省税务局备案；</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省税务局应在收到备案资料</w:t>
      </w: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0"/>
          <w:sz w:val="31"/>
          <w:szCs w:val="31"/>
        </w:rPr>
        <w:t>个工作日内审核备案条件。</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【联系电话】</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drawing>
          <wp:inline distT="0" distB="0" distL="0" distR="0">
            <wp:extent cx="5184140" cy="1800225"/>
            <wp:effectExtent l="0" t="0" r="16510" b="9525"/>
            <wp:docPr id="90" name="_x0000_i3436" descr="出口退免税流程图(商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_x0000_i3436" descr="出口退免税流程图(商店）"/>
                    <pic:cNvPicPr>
                      <a:picLocks noChangeAspect="1"/>
                    </pic:cNvPicPr>
                  </pic:nvPicPr>
                  <pic:blipFill>
                    <a:blip r:embed="rId4"/>
                    <a:stretch>
                      <a:fillRect/>
                    </a:stretch>
                  </pic:blipFill>
                  <pic:spPr>
                    <a:xfrm>
                      <a:off x="0" y="0"/>
                      <a:ext cx="5184140" cy="180022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1"/>
          <w:szCs w:val="31"/>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1"/>
          <w:szCs w:val="31"/>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1"/>
          <w:szCs w:val="31"/>
        </w:rPr>
        <w:t>。</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1"/>
          <w:szCs w:val="31"/>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1"/>
          <w:szCs w:val="31"/>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1"/>
          <w:szCs w:val="31"/>
        </w:rPr>
        <w:t>退税商店应当在其经营场所显著位置悬挂省税务局统一颁发的退税商店标识，便于境外旅客识别。</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【基本规范】</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1"/>
          <w:szCs w:val="31"/>
        </w:rPr>
        <w:t>受理</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1"/>
          <w:szCs w:val="31"/>
        </w:rPr>
        <w:t>办理</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办税服务厅</w:t>
      </w: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1"/>
          <w:szCs w:val="31"/>
        </w:rPr>
        <w:t>个工作日内将资料信息流转至相关责任部门。</w:t>
      </w:r>
    </w:p>
    <w:p>
      <w:pPr>
        <w:wordWrap w:val="0"/>
        <w:spacing w:line="360" w:lineRule="auto"/>
        <w:ind w:left="480" w:leftChars="200" w:firstLine="0" w:firstLineChars="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1"/>
          <w:szCs w:val="31"/>
        </w:rPr>
        <w:t>反馈</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省税务局审核通过的，向退税商店颁发统一的退税商店标识。</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aps w:val="0"/>
          <w:smallCaps w:val="0"/>
          <w:shadow/>
          <w:vanish w:val="0"/>
          <w:color w:val="000000"/>
          <w:kern w:val="0"/>
          <w:sz w:val="31"/>
          <w:szCs w:val="31"/>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1"/>
          <w:szCs w:val="31"/>
        </w:rPr>
        <w:t>归档</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1"/>
          <w:szCs w:val="31"/>
        </w:rPr>
      </w:pPr>
      <w:bookmarkStart w:id="1" w:name="_GoBack"/>
      <w:bookmarkEnd w:id="1"/>
      <w:r>
        <w:rPr>
          <w:rFonts w:hint="default" w:ascii="Times New Roman" w:hAnsi="Times New Roman" w:eastAsia="仿宋_GB2312" w:cs="Times New Roman"/>
          <w:b w:val="0"/>
          <w:bCs w:val="0"/>
          <w:color w:val="000000"/>
          <w:kern w:val="0"/>
          <w:sz w:val="31"/>
          <w:szCs w:val="31"/>
        </w:rPr>
        <w:t>【升级规范】</w:t>
      </w:r>
    </w:p>
    <w:p>
      <w:pPr>
        <w:wordWrap w:val="0"/>
        <w:spacing w:line="360" w:lineRule="auto"/>
        <w:ind w:firstLine="480"/>
        <w:rPr>
          <w:rFonts w:hint="default" w:ascii="Times New Roman" w:hAnsi="Times New Roman" w:eastAsia="仿宋_GB2312" w:cs="Times New Roman"/>
          <w:b w:val="0"/>
          <w:bCs w:val="0"/>
          <w:color w:val="000000"/>
          <w:kern w:val="0"/>
          <w:sz w:val="31"/>
          <w:szCs w:val="31"/>
        </w:rPr>
      </w:pPr>
      <w:r>
        <w:rPr>
          <w:rFonts w:hint="default" w:ascii="Times New Roman" w:hAnsi="Times New Roman" w:eastAsia="仿宋_GB2312" w:cs="Times New Roman"/>
          <w:b w:val="0"/>
          <w:bCs w:val="0"/>
          <w:color w:val="000000"/>
          <w:kern w:val="0"/>
          <w:sz w:val="31"/>
          <w:szCs w:val="31"/>
        </w:rPr>
        <w:t>拓展办税渠道，实现电子税务局、标准版国际贸易“单一窗口”出口退税平台与税务端管理系统数据互通、一体运行。</w:t>
      </w:r>
    </w:p>
    <w:p>
      <w:pPr>
        <w:rPr>
          <w:rFonts w:hint="default" w:ascii="Times New Roman" w:hAnsi="Times New Roman" w:eastAsia="仿宋_GB2312" w:cs="Times New Roman"/>
          <w:b w:val="0"/>
          <w:bCs w:val="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8711"/>
    <w:multiLevelType w:val="singleLevel"/>
    <w:tmpl w:val="05C5871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32C558B"/>
    <w:rsid w:val="18C41AB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5303979F0C9748A7B2722C6F1FB2CEE1</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2022-08-24T06:44:00Z</dcterms:created>
  <dc:creator>123</dc:creator>
  <cp:lastModifiedBy>123</cp:lastModifiedBy>
  <dcterms:modified xsi:type="dcterms:W3CDTF">2022-08-24T06:44:36Z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5303979F0C9748A7B2722C6F1FB2CEE1</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2022-08-24T06:44:00Z</dcterms:created>
  <dcterms:modified xsi:type="dcterms:W3CDTF">2022-08-24T06:44:36Z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3b07b-496f-49bd-a683-1fbcc0f35665}">
  <ds:schemaRefs/>
</ds:datastoreItem>
</file>

<file path=customXml/itemProps3.xml><?xml version="1.0" encoding="utf-8"?>
<ds:datastoreItem xmlns:ds="http://schemas.openxmlformats.org/officeDocument/2006/customXml" ds:itemID="{1d87fe0e-0544-4c6e-a492-2279d86b2631}">
  <ds:schemaRefs/>
</ds:datastoreItem>
</file>

<file path=customXml/itemProps4.xml><?xml version="1.0" encoding="utf-8"?>
<ds:datastoreItem xmlns:ds="http://schemas.openxmlformats.org/officeDocument/2006/customXml" ds:itemID="{6f122661-a1b3-4ed2-963b-1a7f798c2abe}">
  <ds:schemaRefs/>
</ds:datastoreItem>
</file>

<file path=customXml/itemProps5.xml><?xml version="1.0" encoding="utf-8"?>
<ds:datastoreItem xmlns:ds="http://schemas.openxmlformats.org/officeDocument/2006/customXml" ds:itemID="{9198475c-6e3c-4704-a565-23ac3571dfc3}">
  <ds:schemaRefs/>
</ds:datastoreItem>
</file>

<file path=customXml/itemProps6.xml><?xml version="1.0" encoding="utf-8"?>
<ds:datastoreItem xmlns:ds="http://schemas.openxmlformats.org/officeDocument/2006/customXml" ds:itemID="{9c356f38-f9de-417f-8a1a-678643f06048}">
  <ds:schemaRefs/>
</ds:datastoreItem>
</file>

<file path=customXml/itemProps7.xml><?xml version="1.0" encoding="utf-8"?>
<ds:datastoreItem xmlns:ds="http://schemas.openxmlformats.org/officeDocument/2006/customXml" ds:itemID="{e85ce572-acef-456c-81cf-1d58cfed2e3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2022-08-24T06:44:00Z</dcterms:created>
  <dc:creator>123</dc:creator>
  <cp:lastModifiedBy>Administrator</cp:lastModifiedBy>
  <dcterms:modified xsi:type="dcterms:W3CDTF">2022-08-25T08:39:00Z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