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25536"/>
      <w:r>
        <w:rPr>
          <w:rFonts w:hint="eastAsia" w:ascii="方正小标宋_GBK" w:hAnsi="方正小标宋_GBK" w:eastAsia="方正小标宋_GBK" w:cs="方正小标宋_GBK"/>
          <w:b w:val="0"/>
          <w:bCs w:val="0"/>
          <w:color w:val="000000"/>
          <w:kern w:val="24"/>
          <w:sz w:val="40"/>
          <w:szCs w:val="40"/>
        </w:rPr>
        <w:t>软件产品增值税即征即退进项分摊方式资料</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报送与信息报告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软件产品增值税即征即退进项分摊方式资料报送与信息报告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国家税务总局</w:t>
      </w:r>
      <w:r>
        <w:rPr>
          <w:rFonts w:ascii="Times New Roman" w:hAnsi="Times New Roman" w:eastAsia="仿宋_GB2312" w:cs="Times New Roman"/>
          <w:color w:val="000000"/>
          <w:sz w:val="32"/>
        </w:rPr>
        <w:t>关于软件产品增值税政策的通知》（财税〔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2011</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100</w:t>
      </w:r>
      <w:r>
        <w:rPr>
          <w:rFonts w:ascii="Times New Roman" w:hAnsi="Times New Roman" w:eastAsia="仿宋_GB2312" w:cs="Times New Roman"/>
          <w:color w:val="000000"/>
          <w:sz w:val="32"/>
        </w:rPr>
        <w:t>号）第六条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《纳税人进项税额分摊方式备案报告表》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查验后退回</w:t>
            </w: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可通过办税服务厅（场所）办理，具体地点可从省（自治区、直辖市和计划单列市）税务局网站“纳税服务”栏目查询。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65935"/>
            <wp:effectExtent l="0" t="0" r="16510" b="0"/>
            <wp:docPr id="128" name="_x0000_i391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_x0000_i391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专用于软件产品开发生产的设备及工具，包括但不限于用于软件设计的计算机设备、读写打印器具设备、工具软件、软件平台和测试设备。</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办理结束后，在文书表单上加盖印章，一份返还纳税人。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ascii="Times New Roman" w:hAnsi="Times New Roman" w:eastAsia="仿宋_GB2312" w:cs="Times New Roman"/>
          <w:color w:val="000000"/>
          <w:sz w:val="32"/>
        </w:rPr>
        <w:t>税务机关提供在电子税务局办理软件产品增值税即征即退进项分摊方式资料报送与信息报告服务。</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D476"/>
    <w:multiLevelType w:val="singleLevel"/>
    <w:tmpl w:val="0C73D47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BBD19B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52F1FDD94428495FBE92DF46680D6088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2022-08-24T04:57:00Z</dcterms:created>
  <dc:creator>123</dc:creator>
  <cp:lastModifiedBy>123</cp:lastModifiedBy>
  <dcterms:modified xsi:type="dcterms:W3CDTF">2022-08-24T04:57:33Z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52F1FDD94428495FBE92DF46680D6088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2022-08-24T04:57:00Z</dcterms:created>
  <dcterms:modified xsi:type="dcterms:W3CDTF">2022-08-24T04:57:33Z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0d746-b805-435f-b857-eeb2c5f6a5d3}">
  <ds:schemaRefs/>
</ds:datastoreItem>
</file>

<file path=customXml/itemProps3.xml><?xml version="1.0" encoding="utf-8"?>
<ds:datastoreItem xmlns:ds="http://schemas.openxmlformats.org/officeDocument/2006/customXml" ds:itemID="{ec38365f-d644-41d3-9ebd-f5785d60dd20}">
  <ds:schemaRefs/>
</ds:datastoreItem>
</file>

<file path=customXml/itemProps4.xml><?xml version="1.0" encoding="utf-8"?>
<ds:datastoreItem xmlns:ds="http://schemas.openxmlformats.org/officeDocument/2006/customXml" ds:itemID="{63fdee19-ba85-4407-9b0c-b21b328a1219}">
  <ds:schemaRefs/>
</ds:datastoreItem>
</file>

<file path=customXml/itemProps5.xml><?xml version="1.0" encoding="utf-8"?>
<ds:datastoreItem xmlns:ds="http://schemas.openxmlformats.org/officeDocument/2006/customXml" ds:itemID="{ebb7ec5b-247d-4bf4-9519-3cc0859b7e3b}">
  <ds:schemaRefs/>
</ds:datastoreItem>
</file>

<file path=customXml/itemProps6.xml><?xml version="1.0" encoding="utf-8"?>
<ds:datastoreItem xmlns:ds="http://schemas.openxmlformats.org/officeDocument/2006/customXml" ds:itemID="{c31ad893-babc-4907-8961-02bcebdfe5f0}">
  <ds:schemaRefs/>
</ds:datastoreItem>
</file>

<file path=customXml/itemProps7.xml><?xml version="1.0" encoding="utf-8"?>
<ds:datastoreItem xmlns:ds="http://schemas.openxmlformats.org/officeDocument/2006/customXml" ds:itemID="{1d25435e-d20d-4e06-9bc3-1db578abaac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2022-08-24T04:57:00Z</dcterms:created>
  <dc:creator>123</dc:creator>
  <cp:lastModifiedBy>Administrator</cp:lastModifiedBy>
  <dcterms:modified xsi:type="dcterms:W3CDTF">2022-08-25T04:22:55Z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