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  <w:vertAlign w:val="baseline"/>
        </w:rPr>
      </w:pPr>
      <w:bookmarkStart w:id="0" w:name="_Toc282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  <w:vertAlign w:val="baseline"/>
        </w:rPr>
        <w:t>税务注销即时办理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税务注销即时办理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下列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条件的纳税人在办理税务注销时，税务机关提供即时办结服务，采取“承诺制”容缺办理，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即时出具清税文书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未办理过涉税事宜的纳税人，主动到税务机关办理清税的。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办理过涉税事宜但未领用发票、无欠税（滞纳金）及罚款的纳税人，主动到税务机关办理清税的。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未处于税务检查状态、无欠税（滞纳金）及罚款、已缴销发票及税控专用设备，且符合下列情形之一的：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纳税信用级别为A级和B级的纳税人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）控股母公司纳税信用级别为A级的M级纳税人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级人民政府引进人才或经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级以上行业协会等机构认定的行业领军人才等创办的企业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）未纳入纳税信用级别评价的定期定额个体工商户。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未达到增值税纳税起征点的纳税人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经人民法院裁定宣告破产，持人民法院终结破产程序裁定书，向税务机关申请办理税务注销的纳税人。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《中华人民共和国税收征收管理法》第十六条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《中华人民共和国税收征收管理法实施细则》第十五条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《税务登记管理办法》（国家税务总局令第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号修改）第五章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《国家税务总局关于进一步优化办理企业税务注销程序的通知》（税总发〔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149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号）第二条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《国家税务总局关于深化“放管服”改革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更大力度推进优化税务注销办理程序工作的通知》（税总发〔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号）第一条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02"/>
        <w:gridCol w:w="2702"/>
        <w:gridCol w:w="636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《清税申报表》或《注销税务登记申请表》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已实行“一照一码”“两证整合”登记模式的纳税人提交《清税申报表》；未实行“一照一码”“两证整合”登记模式的纳税人提交《注销税务登记申请表》。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经办人身份证件原件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上级主管、董事会决议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注销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上级主管部门批复文件或董事会决议复印件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境外企业在中国境内承包建筑、安装、装配、勘探工程和提供劳务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项目完工证明、验收证明等相关文件复印件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被市场监督管理机关吊销营业执照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市场监督管理机关发出的吊销工商营业执照决定复印件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未启用统一社会信用代码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税务登记证件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已领取发票领用簿的纳税人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《发票领用簿》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未办理过涉税事宜的纳税人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加载统一社会信用代码的营业执照（或组织机构代码证等）原件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经人民法院裁定宣告破产的还应报送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人民法院终结破产程序裁定书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073015" cy="1727835"/>
            <wp:effectExtent l="0" t="0" r="13335" b="0"/>
            <wp:docPr id="109" name="_x0000_i3875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_x0000_i3875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1727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向市场监管部门申请简易注销的纳税人，符合下列情形之一的，可免予到税务机关办理清税证明：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）未办理过涉税事宜的；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）办理过涉税事宜但未领用发票、无欠税（滞纳金）及罚款的。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纳税人提供的各项资料为复印件的，均须注明“与原件一致”并签章。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经过实名信息验证的办税人员，不再提供登记证件、身份证件复印件等资料。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Hlk12620407"/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对适用税务注销即办流程的纳税人，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资料不齐的，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在纳税人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作出承诺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采取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“承诺制”容缺办理，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即时出具清税文书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纳税人应按承诺的时限补齐资料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并办结相关事项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若未履行承诺的，税务机关将对其法定代表人、财务负责人纳入纳税信用D级管理。</w:t>
      </w:r>
      <w:bookmarkEnd w:id="1"/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申报办理税务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注销前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结清应纳税款、多退（免）税款、滞纳金和罚款，缴销发票和其他税务证件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企业所得税纳税人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在办理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税务注销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前，就其清算所得向税务机关申报并依法缴纳企业所得税。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）纳税人未办理土地增值税清算手续的，应在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注销前进行土地增值税清算。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）出口企业应在结清出口退（免）税款后，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注销。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处于非正常状态纳税人在申报办理税务注销前，需先解除非正常状态，补办申报纳税手续。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纳税人申报办理税务注销，无需向税务机关提出终止银税三方（委托）划缴协议。税务机关办结税务注销后，银税三方（委托）划缴协议自动终止。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）对办税人员进行实名信息验证。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）按照纳税人报送材料录入数据。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）实行“一窗受理、内部流转、限时办结、窗口出件”的“套餐式”服务模式。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）处于非正常状态纳税人在办理税务注销前，符合以下情形的，税务机关可打印相应税种和相关附加的《批量零申报确认表》，经纳税人确认后，进行批量处理：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非正常状态期间增值税、消费税和相关附加需补办的申报均为零申报的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非正常状态期间企业所得税月（季）度预缴需补办的申报均为零申报，且不存在弥补前期亏损情况的。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办理结束后，制作《清税证明》或《注销税务事项通知书》，发放给纳税人；电子税务局办理的，将办理结果通过电子税务局反馈给纳税人。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5910A4"/>
    <w:multiLevelType w:val="singleLevel"/>
    <w:tmpl w:val="F45910A4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51A6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0A5373F0044B498D9055B8F924213352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2022-08-24T07:07:00Z</dcterms:created>
  <dc:creator>123</dc:creator>
  <cp:lastModifiedBy>123</cp:lastModifiedBy>
  <dcterms:modified xsi:type="dcterms:W3CDTF">2022-08-24T07:08:17Z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0A5373F0044B498D9055B8F924213352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2022-08-24T07:07:00Z</dcterms:created>
  <dcterms:modified xsi:type="dcterms:W3CDTF">2022-08-24T07:08:17Z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935dae-c53e-4f34-87be-6e0286e14ac5}">
  <ds:schemaRefs/>
</ds:datastoreItem>
</file>

<file path=customXml/itemProps3.xml><?xml version="1.0" encoding="utf-8"?>
<ds:datastoreItem xmlns:ds="http://schemas.openxmlformats.org/officeDocument/2006/customXml" ds:itemID="{17d42df5-e4bd-4ae9-928d-fc67f47e3f77}">
  <ds:schemaRefs/>
</ds:datastoreItem>
</file>

<file path=customXml/itemProps4.xml><?xml version="1.0" encoding="utf-8"?>
<ds:datastoreItem xmlns:ds="http://schemas.openxmlformats.org/officeDocument/2006/customXml" ds:itemID="{de0645a1-9a6f-40d6-ba86-b7e8bf05f079}">
  <ds:schemaRefs/>
</ds:datastoreItem>
</file>

<file path=customXml/itemProps5.xml><?xml version="1.0" encoding="utf-8"?>
<ds:datastoreItem xmlns:ds="http://schemas.openxmlformats.org/officeDocument/2006/customXml" ds:itemID="{4dbb8fb2-68fd-4efa-b95c-c6aa80f4839b}">
  <ds:schemaRefs/>
</ds:datastoreItem>
</file>

<file path=customXml/itemProps6.xml><?xml version="1.0" encoding="utf-8"?>
<ds:datastoreItem xmlns:ds="http://schemas.openxmlformats.org/officeDocument/2006/customXml" ds:itemID="{910290c4-8aa8-4104-aa8d-c14b4c3dc09c}">
  <ds:schemaRefs/>
</ds:datastoreItem>
</file>

<file path=customXml/itemProps7.xml><?xml version="1.0" encoding="utf-8"?>
<ds:datastoreItem xmlns:ds="http://schemas.openxmlformats.org/officeDocument/2006/customXml" ds:itemID="{2ffa7a86-8fe9-4300-9124-e78aa7469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2022-08-24T07:07:00Z</dcterms:created>
  <dc:creator>123</dc:creator>
  <cp:lastModifiedBy>Administrator</cp:lastModifiedBy>
  <dcterms:modified xsi:type="dcterms:W3CDTF">2022-08-26T03:28:28Z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