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9132"/>
      <w:bookmarkStart w:id="1" w:name="_Toc26717"/>
      <w:r>
        <w:rPr>
          <w:rFonts w:hint="eastAsia" w:ascii="方正小标宋_GBK" w:hAnsi="方正小标宋_GBK" w:eastAsia="方正小标宋_GBK" w:cs="方正小标宋_GBK"/>
          <w:b w:val="0"/>
          <w:bCs w:val="0"/>
          <w:color w:val="000000"/>
          <w:sz w:val="40"/>
          <w:szCs w:val="40"/>
        </w:rPr>
        <w:t>清算企业所得税申报</w:t>
      </w:r>
      <w:bookmarkEnd w:id="0"/>
      <w:bookmarkEnd w:id="1"/>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pStyle w:val="8"/>
        <w:wordWrap w:val="0"/>
        <w:adjustRightInd/>
        <w:snapToGrid/>
        <w:ind w:left="0" w:firstLine="480"/>
        <w:rPr>
          <w:rFonts w:hint="default" w:ascii="Times New Roman" w:hAnsi="Times New Roman" w:eastAsia="仿宋_GB2312" w:cs="Times New Roman"/>
          <w:b w:val="0"/>
          <w:bCs w:val="0"/>
          <w:color w:val="000000"/>
          <w:sz w:val="32"/>
          <w:szCs w:val="32"/>
        </w:rPr>
      </w:pPr>
      <w:bookmarkStart w:id="2" w:name="_Toc18617"/>
      <w:r>
        <w:rPr>
          <w:rFonts w:hint="default" w:ascii="Times New Roman" w:hAnsi="Times New Roman" w:eastAsia="仿宋_GB2312" w:cs="Times New Roman"/>
          <w:b w:val="0"/>
          <w:bCs w:val="0"/>
          <w:color w:val="000000"/>
          <w:sz w:val="32"/>
          <w:szCs w:val="32"/>
        </w:rPr>
        <w:t>清算企业所得税申报</w:t>
      </w:r>
      <w:bookmarkEnd w:id="2"/>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因解散、破产、重组等原因终止生产经营活动的纳税人，不再持续经营的纳税人，企业由法人转变为个人独资企业、合伙企业等非法人组织，或将登记注册地转移至中华人民共和国境外（包括港澳台地区），应在办理注销登记前，以整个清算期间作为一个纳税年度，依法计算清算所得及其应纳所得税，自清算结束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日内，填报《中华人民共和国企业清算所得税申报表》及其他相关资料，向税务机关进行申报。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《中华人民共和国企业所得税法》第一条、第五十五条</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76"/>
        <w:gridCol w:w="3359"/>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0" w:type="dxa"/>
            <w:tcBorders>
              <w:top w:val="single" w:color="auto" w:sz="4" w:space="0"/>
              <w:left w:val="single" w:color="auto" w:sz="4" w:space="0"/>
              <w:bottom w:val="single" w:color="auto" w:sz="4" w:space="0"/>
              <w:right w:val="single" w:color="auto" w:sz="4" w:space="0"/>
            </w:tcBorders>
            <w:shd w:val="clear" w:color="000000"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000000"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000000"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000000" w:fill="D9D9D9"/>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《中华人民共和国企业清算所得税申报表》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63" w:type="dxa"/>
            <w:gridSpan w:val="5"/>
            <w:tcBorders>
              <w:top w:val="single" w:color="auto" w:sz="4" w:space="0"/>
              <w:left w:val="single" w:color="auto" w:sz="4" w:space="0"/>
              <w:bottom w:val="single" w:color="auto" w:sz="4" w:space="0"/>
              <w:right w:val="single" w:color="auto" w:sz="4" w:space="0"/>
            </w:tcBorders>
            <w:shd w:val="clear" w:color="000000"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6"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3359"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56" w:type="dxa"/>
            <w:gridSpan w:val="2"/>
            <w:vMerge w:val="restart"/>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企业由法人转变为个人独资企业、合伙企业等非法人组织，或将登记注册地转移至中华人民共和国境外（包括港澳台地区）</w:t>
            </w:r>
          </w:p>
        </w:tc>
        <w:tc>
          <w:tcPr>
            <w:tcW w:w="335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企业改变法律形式的的市场监督管理部门或其他政府部门的批准文件复印件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5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3359"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企业全部资产的计税基础以及评估机构出具的资产评估报告复印件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5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3359"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企业债权、债务处理或归属情况说明复印件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56" w:type="dxa"/>
            <w:gridSpan w:val="2"/>
            <w:vMerge w:val="restart"/>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被合并企业</w:t>
            </w:r>
          </w:p>
        </w:tc>
        <w:tc>
          <w:tcPr>
            <w:tcW w:w="335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企业合并的市场监督管理部门</w:t>
            </w:r>
          </w:p>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或其他政府部门的批准文件复印件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5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3359"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企业全部资产和负债的计税基础以及评估机构出具的资产评估报告复印件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5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3359"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被合并企业债务处理或归属情况说明复印件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56" w:type="dxa"/>
            <w:gridSpan w:val="2"/>
            <w:vMerge w:val="restart"/>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被分立企业</w:t>
            </w:r>
          </w:p>
        </w:tc>
        <w:tc>
          <w:tcPr>
            <w:tcW w:w="3359"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企业分立的市场监督管理部门</w:t>
            </w:r>
          </w:p>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或其他政府部门的批准文件复印件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5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3359"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被分立企业全部资产的计税基础以及评估机构出具的资产评估报告复印件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5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3359"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被分立企业债务处理或归属情况说明复印件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default" w:ascii="Times New Roman" w:hAnsi="Times New Roman" w:eastAsia="仿宋_GB2312" w:cs="Times New Roman"/>
                <w:b w:val="0"/>
                <w:bCs w:val="0"/>
                <w:color w:val="000000"/>
                <w:sz w:val="32"/>
                <w:szCs w:val="32"/>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pStyle w:val="7"/>
        <w:wordWrap w:val="0"/>
        <w:adjustRightInd/>
        <w:snapToGrid/>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76" name="_x0000_i3862"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_x0000_i3862"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aps w:val="0"/>
          <w:smallCaps w:val="0"/>
          <w:shadow/>
          <w:vanish w:val="0"/>
          <w:color w:val="000000"/>
          <w:sz w:val="32"/>
          <w:szCs w:val="32"/>
          <w:lang w:val="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lang w:val="zh-CN"/>
        </w:rPr>
        <w:t>完成居民企业清算企业所得税申报后，可继续办理</w:t>
      </w:r>
      <w:r>
        <w:rPr>
          <w:rFonts w:hint="default" w:ascii="Times New Roman" w:hAnsi="Times New Roman" w:eastAsia="仿宋_GB2312" w:cs="Times New Roman"/>
          <w:b w:val="0"/>
          <w:bCs w:val="0"/>
          <w:color w:val="000000"/>
          <w:sz w:val="32"/>
          <w:szCs w:val="32"/>
          <w:lang w:val="zh-CN"/>
        </w:rPr>
        <w:t>注销登记</w:t>
      </w:r>
      <w:r>
        <w:rPr>
          <w:rFonts w:hint="default" w:ascii="Times New Roman" w:hAnsi="Times New Roman" w:eastAsia="仿宋_GB2312" w:cs="Times New Roman"/>
          <w:b w:val="0"/>
          <w:bCs w:val="0"/>
          <w:color w:val="000000"/>
          <w:sz w:val="32"/>
          <w:szCs w:val="32"/>
          <w:lang w:val="zh-CN"/>
        </w:rPr>
        <w:t>或</w:t>
      </w:r>
      <w:r>
        <w:rPr>
          <w:rFonts w:hint="default" w:ascii="Times New Roman" w:hAnsi="Times New Roman" w:eastAsia="仿宋_GB2312" w:cs="Times New Roman"/>
          <w:b w:val="0"/>
          <w:bCs w:val="0"/>
          <w:color w:val="000000"/>
          <w:sz w:val="32"/>
          <w:szCs w:val="32"/>
          <w:lang w:val="zh-CN"/>
        </w:rPr>
        <w:t>清税申报</w:t>
      </w:r>
      <w:r>
        <w:rPr>
          <w:rFonts w:hint="default" w:ascii="Times New Roman" w:hAnsi="Times New Roman" w:eastAsia="仿宋_GB2312" w:cs="Times New Roman"/>
          <w:b w:val="0"/>
          <w:bCs w:val="0"/>
          <w:color w:val="000000"/>
          <w:sz w:val="32"/>
          <w:szCs w:val="32"/>
          <w:lang w:val="zh-CN"/>
        </w:rPr>
        <w:t>等事宜。</w:t>
      </w:r>
    </w:p>
    <w:p>
      <w:pPr>
        <w:wordWrap w:val="0"/>
        <w:spacing w:line="360" w:lineRule="auto"/>
        <w:ind w:firstLine="480"/>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lang w:val="zh-CN"/>
        </w:rPr>
        <w:t>企业应当在办理注销登记之前，就其清算所得向主管税务机关申报并依法缴纳企业所得税。境外注册中资控股居民企业需要申报办理注销税务登记的，应在注销税务登记前，就其清算所得向主管税务机关申报缴纳企业所得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进入清算期的企业应对清算事项，报主管税务机关备案。</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3" w:name="_GoBack"/>
      <w:bookmarkEnd w:id="3"/>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利用数字证书申报成功的纳税人，取消纸质资料报送。</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C4AB00"/>
    <w:multiLevelType w:val="singleLevel"/>
    <w:tmpl w:val="D7C4AB00"/>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C4745E0"/>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目录3"/>
    <w:qFormat/>
    <w:uiPriority w:val="0"/>
    <w:pPr>
      <w:widowControl w:val="0"/>
      <w:tabs>
        <w:tab w:val="right" w:leader="dot" w:pos="8278"/>
      </w:tabs>
      <w:adjustRightInd w:val="0"/>
      <w:snapToGrid w:val="0"/>
      <w:spacing w:line="360" w:lineRule="auto"/>
      <w:ind w:left="964" w:firstLine="200" w:firstLineChars="200"/>
      <w:jc w:val="both"/>
    </w:pPr>
    <w:rPr>
      <w:rFonts w:ascii="宋体" w:hAnsi="宋体" w:eastAsia="黑体" w:cs="Times New Roman"/>
      <w:kern w:val="2"/>
      <w:sz w:val="24"/>
      <w:szCs w:val="24"/>
      <w:lang w:val="en-US" w:eastAsia="zh-CN" w:bidi="ar-SA"/>
    </w:rPr>
  </w:style>
  <w:style w:type="paragraph" w:customStyle="1" w:styleId="9">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10">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936EF405E075439F9832D4E8F3F14FDF</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2022-08-24T05:31:00Z</dcterms:created>
  <dc:creator>123</dc:creator>
  <cp:lastModifiedBy>123</cp:lastModifiedBy>
  <dcterms:modified xsi:type="dcterms:W3CDTF">2022-08-24T05:32:17Z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936EF405E075439F9832D4E8F3F14FDF</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2022-08-24T05:31:00Z</dcterms:created>
  <dcterms:modified xsi:type="dcterms:W3CDTF">2022-08-24T05:32:17Z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c4d500-0329-425d-bf52-349d02652372}">
  <ds:schemaRefs/>
</ds:datastoreItem>
</file>

<file path=customXml/itemProps3.xml><?xml version="1.0" encoding="utf-8"?>
<ds:datastoreItem xmlns:ds="http://schemas.openxmlformats.org/officeDocument/2006/customXml" ds:itemID="{7a2afc6f-3d66-43dd-a7ff-ba30e2917695}">
  <ds:schemaRefs/>
</ds:datastoreItem>
</file>

<file path=customXml/itemProps4.xml><?xml version="1.0" encoding="utf-8"?>
<ds:datastoreItem xmlns:ds="http://schemas.openxmlformats.org/officeDocument/2006/customXml" ds:itemID="{bb8280b1-62ec-4572-bc04-8723ce8b86a7}">
  <ds:schemaRefs/>
</ds:datastoreItem>
</file>

<file path=customXml/itemProps5.xml><?xml version="1.0" encoding="utf-8"?>
<ds:datastoreItem xmlns:ds="http://schemas.openxmlformats.org/officeDocument/2006/customXml" ds:itemID="{6d22b2eb-6f8c-48d3-9788-c4e9509ac3ca}">
  <ds:schemaRefs/>
</ds:datastoreItem>
</file>

<file path=customXml/itemProps6.xml><?xml version="1.0" encoding="utf-8"?>
<ds:datastoreItem xmlns:ds="http://schemas.openxmlformats.org/officeDocument/2006/customXml" ds:itemID="{60e35222-c193-4f61-8117-e695c95a3b7f}">
  <ds:schemaRefs/>
</ds:datastoreItem>
</file>

<file path=customXml/itemProps7.xml><?xml version="1.0" encoding="utf-8"?>
<ds:datastoreItem xmlns:ds="http://schemas.openxmlformats.org/officeDocument/2006/customXml" ds:itemID="{498a0095-0b0e-480c-abeb-11be5e5ca0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2022-08-24T05:31:00Z</dcterms:created>
  <dc:creator>123</dc:creator>
  <cp:lastModifiedBy>Administrator</cp:lastModifiedBy>
  <dcterms:modified xsi:type="dcterms:W3CDTF">2022-08-25T11:22:56Z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