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7030"/>
      <w:r>
        <w:rPr>
          <w:rFonts w:hint="eastAsia" w:ascii="方正小标宋_GBK" w:hAnsi="方正小标宋_GBK" w:eastAsia="方正小标宋_GBK" w:cs="方正小标宋_GBK"/>
          <w:b w:val="0"/>
          <w:bCs w:val="0"/>
          <w:color w:val="000000"/>
          <w:kern w:val="24"/>
          <w:sz w:val="40"/>
          <w:szCs w:val="40"/>
        </w:rPr>
        <w:t>涉税专业服务机构（人员）基本信息报送</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涉税专业服务机构（人员）基本信息报送</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涉税专业服务机构首次报送基本信息的应当于首次提供涉税专业服务前、基本信息发生变更的应当自变更之日起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日内、暂时停止提供涉税专业服务的应当于完成或终止全部涉税专业服务协议后、恢复提供涉税专业服务的应当于恢复后首次提供涉税专业服务前办理涉税专业服务机构（人员）基本信息报送。</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《国家税务总局关于发布&lt;涉税专业服务监管办法（试行）&gt;的公告》（国家税务总局公告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号）第八条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《国家税务总局关于采集涉税专业服务基本信息和业务信息有关事项的公告》（国家税务总局公告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49</w:t>
      </w:r>
      <w:r>
        <w:rPr>
          <w:rFonts w:hint="default" w:ascii="Times New Roman" w:hAnsi="Times New Roman" w:eastAsia="仿宋_GB2312" w:cs="Times New Roman"/>
          <w:b w:val="0"/>
          <w:bCs w:val="0"/>
          <w:color w:val="000000"/>
          <w:sz w:val="32"/>
          <w:szCs w:val="32"/>
        </w:rPr>
        <w:t>号）第一条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《涉税专业服务机构（人员）基本信息采集表》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税务机关和涉税专业服务机构各留存一份</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可通过电子税务局、办税服务厅（场所）办理，具体网址和地点可从省（自治区、直辖市和计划单列市）税务局网站“纳税服务”栏目查询。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9745"/>
            <wp:effectExtent l="0" t="0" r="16510" b="0"/>
            <wp:docPr id="122" name="_x0000_i3912"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_x0000_i3912" descr="C:\Users\baoqianyu\Desktop\流程图\即办\涉税专业服务机构.png涉税专业服务机构"/>
                    <pic:cNvPicPr>
                      <a:picLocks noChangeAspect="1"/>
                    </pic:cNvPicPr>
                  </pic:nvPicPr>
                  <pic:blipFill>
                    <a:blip r:embed="rId4"/>
                    <a:stretch>
                      <a:fillRect/>
                    </a:stretch>
                  </pic:blipFill>
                  <pic:spPr>
                    <a:xfrm>
                      <a:off x="0" y="0"/>
                      <a:ext cx="5184140" cy="1769745"/>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涉税专业服务机构应主动报送相关信息并对信息的真实性、完整性、合法性和准确性负责。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税务局网站“下载中心”栏目</w:t>
      </w:r>
      <w:r>
        <w:rPr>
          <w:rFonts w:hint="default" w:ascii="Times New Roman" w:hAnsi="Times New Roman" w:eastAsia="仿宋_GB2312" w:cs="Times New Roman"/>
          <w:b w:val="0"/>
          <w:bCs w:val="0"/>
          <w:color w:val="000000"/>
          <w:sz w:val="32"/>
          <w:szCs w:val="32"/>
        </w:rPr>
        <w:t>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税务师事务所应当先办理税务师事务所行政登记，取得《税务师事务所行政登记证书》。</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涉税专业服务机构原则上应当通过电子税务局报送，因客观原因无法通过电子税务局报送的，可在非征期内通过实体办税服务厅办理。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涉税专业服务机构通过电子税务局办理的，按照系统反馈信息，自行打印《涉税专业服务机构（人员）基本信息采集表》留存。</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办税服务厅接收资料，核对资料是否齐全、是否符合法定形式、填写内容是否完整，符合的即时受理；对资料不齐全、不符合法定形式或填写内容不完整的，当场一次性告知应补正资料或不予受理原因</w:t>
      </w:r>
      <w:r>
        <w:rPr>
          <w:rFonts w:hint="default" w:ascii="Times New Roman" w:hAnsi="Times New Roman" w:eastAsia="仿宋_GB2312" w:cs="Times New Roman"/>
          <w:b w:val="0"/>
          <w:bCs w:val="0"/>
          <w:color w:val="000000"/>
          <w:sz w:val="32"/>
          <w:szCs w:val="32"/>
        </w:rPr>
        <w:t>。</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确认录入系统的数据与</w:t>
      </w:r>
      <w:r>
        <w:rPr>
          <w:rFonts w:hint="default" w:ascii="Times New Roman" w:hAnsi="Times New Roman" w:eastAsia="仿宋_GB2312" w:cs="Times New Roman"/>
          <w:b w:val="0"/>
          <w:bCs w:val="0"/>
          <w:color w:val="000000"/>
          <w:sz w:val="32"/>
          <w:szCs w:val="32"/>
        </w:rPr>
        <w:t>涉税专业服务机构</w:t>
      </w:r>
      <w:r>
        <w:rPr>
          <w:rFonts w:hint="default" w:ascii="Times New Roman" w:hAnsi="Times New Roman" w:eastAsia="仿宋_GB2312" w:cs="Times New Roman"/>
          <w:b w:val="0"/>
          <w:bCs w:val="0"/>
          <w:color w:val="000000"/>
          <w:sz w:val="32"/>
          <w:szCs w:val="32"/>
        </w:rPr>
        <w:t>提交资料内容一致，且符合相应数据填报标准。</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办理完成后将《涉税专业服务机构（人员）基本信息采集表》一份交付涉税专业服务机构留存。</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将资料进行归档。不得将涉税专业服务机构的办理材料用于与政务服务无关的用途。</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DCFFAE"/>
    <w:multiLevelType w:val="singleLevel"/>
    <w:tmpl w:val="E8DCFFAE"/>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27377CD"/>
    <w:rsid w:val="554E57B8"/>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2E0A8BCBBF45499CA6E4AC7917912AA1</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2022-08-24T07:13:00Z</dcterms:created>
  <dc:creator>123</dc:creator>
  <cp:lastModifiedBy>123</cp:lastModifiedBy>
  <dcterms:modified xsi:type="dcterms:W3CDTF">2022-08-24T07:13:31Z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2E0A8BCBBF45499CA6E4AC7917912AA1</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2022-08-24T07:13:00Z</dcterms:created>
  <dcterms:modified xsi:type="dcterms:W3CDTF">2022-08-24T07:13:31Z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207e8-9756-4ef0-aa12-fb5efab829e1}">
  <ds:schemaRefs/>
</ds:datastoreItem>
</file>

<file path=customXml/itemProps3.xml><?xml version="1.0" encoding="utf-8"?>
<ds:datastoreItem xmlns:ds="http://schemas.openxmlformats.org/officeDocument/2006/customXml" ds:itemID="{cc40ab4a-9ad1-43d6-a0b9-24962cf2b41d}">
  <ds:schemaRefs/>
</ds:datastoreItem>
</file>

<file path=customXml/itemProps4.xml><?xml version="1.0" encoding="utf-8"?>
<ds:datastoreItem xmlns:ds="http://schemas.openxmlformats.org/officeDocument/2006/customXml" ds:itemID="{44bcb76c-32f6-451b-a28c-7367d3ed9b87}">
  <ds:schemaRefs/>
</ds:datastoreItem>
</file>

<file path=customXml/itemProps5.xml><?xml version="1.0" encoding="utf-8"?>
<ds:datastoreItem xmlns:ds="http://schemas.openxmlformats.org/officeDocument/2006/customXml" ds:itemID="{49af7a25-2a2a-4293-b0eb-439e81f2d6bf}">
  <ds:schemaRefs/>
</ds:datastoreItem>
</file>

<file path=customXml/itemProps6.xml><?xml version="1.0" encoding="utf-8"?>
<ds:datastoreItem xmlns:ds="http://schemas.openxmlformats.org/officeDocument/2006/customXml" ds:itemID="{525feff9-1cad-4c80-9ebd-9215f25931e2}">
  <ds:schemaRefs/>
</ds:datastoreItem>
</file>

<file path=customXml/itemProps7.xml><?xml version="1.0" encoding="utf-8"?>
<ds:datastoreItem xmlns:ds="http://schemas.openxmlformats.org/officeDocument/2006/customXml" ds:itemID="{5ffff808-3a75-49b4-857e-de32cc183081}">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2022-08-24T07:13:00Z</dcterms:created>
  <dc:creator>123</dc:creator>
  <cp:lastModifiedBy>Administrator</cp:lastModifiedBy>
  <dcterms:modified xsi:type="dcterms:W3CDTF">2022-08-26T03:31:50Z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