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32115"/>
      <w:r>
        <w:rPr>
          <w:rFonts w:hint="eastAsia" w:ascii="方正小标宋_GBK" w:hAnsi="方正小标宋_GBK" w:eastAsia="方正小标宋_GBK" w:cs="方正小标宋_GBK"/>
          <w:b w:val="0"/>
          <w:bCs w:val="0"/>
          <w:color w:val="000000"/>
          <w:kern w:val="24"/>
          <w:sz w:val="40"/>
          <w:szCs w:val="40"/>
        </w:rPr>
        <w:t>油价调控风险准备金申报</w:t>
      </w:r>
      <w:bookmarkEnd w:id="0"/>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油价调控风险准备金申报</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在中华人民共和国境内生产、委托加工和进口汽、柴油的成品油生产经营企业，在国际市场原油价格低于国家规定的成品油价格调控下限时，</w:t>
      </w:r>
      <w:r>
        <w:rPr>
          <w:rFonts w:hint="default" w:ascii="Times New Roman" w:hAnsi="Times New Roman" w:eastAsia="仿宋_GB2312" w:cs="Times New Roman"/>
          <w:b w:val="0"/>
          <w:bCs w:val="0"/>
          <w:color w:val="000000"/>
          <w:sz w:val="32"/>
          <w:szCs w:val="32"/>
        </w:rPr>
        <w:t>应依照法律、行政法规规定或者税务机关依照法律、行政法规规定确定的申报期限、申报内容，</w:t>
      </w:r>
      <w:r>
        <w:rPr>
          <w:rFonts w:hint="default" w:ascii="Times New Roman" w:hAnsi="Times New Roman" w:eastAsia="仿宋_GB2312" w:cs="Times New Roman"/>
          <w:b w:val="0"/>
          <w:bCs w:val="0"/>
          <w:color w:val="000000"/>
          <w:sz w:val="32"/>
          <w:szCs w:val="32"/>
        </w:rPr>
        <w:t>申报缴纳</w:t>
      </w:r>
      <w:r>
        <w:rPr>
          <w:rFonts w:hint="default" w:ascii="Times New Roman" w:hAnsi="Times New Roman" w:eastAsia="仿宋_GB2312" w:cs="Times New Roman"/>
          <w:b w:val="0"/>
          <w:bCs w:val="0"/>
          <w:color w:val="000000"/>
          <w:sz w:val="32"/>
          <w:szCs w:val="32"/>
        </w:rPr>
        <w:t>油价调控风险准备金</w:t>
      </w:r>
      <w:r>
        <w:rPr>
          <w:rFonts w:hint="default" w:ascii="Times New Roman" w:hAnsi="Times New Roman" w:eastAsia="仿宋_GB2312" w:cs="Times New Roman"/>
          <w:b w:val="0"/>
          <w:bCs w:val="0"/>
          <w:color w:val="000000"/>
          <w:sz w:val="32"/>
          <w:szCs w:val="32"/>
        </w:rPr>
        <w:t>基金。</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国家发展改革委关于进一步完善成品油价格形成机制有关问题的通知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发改价格〔</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64</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）第一条第二款</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《油价调控风险准备金申报表》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8595" cy="1781175"/>
            <wp:effectExtent l="0" t="0" r="8255" b="0"/>
            <wp:docPr id="297" name="_x0000_i4269"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_x0000_i4269" descr="缴纳义务人"/>
                    <pic:cNvPicPr>
                      <a:picLocks noChangeAspect="1"/>
                    </pic:cNvPicPr>
                  </pic:nvPicPr>
                  <pic:blipFill>
                    <a:blip r:embed="rId4"/>
                    <a:stretch>
                      <a:fillRect/>
                    </a:stretch>
                  </pic:blipFill>
                  <pic:spPr>
                    <a:xfrm>
                      <a:off x="0" y="0"/>
                      <a:ext cx="5268595" cy="1781175"/>
                    </a:xfrm>
                    <a:prstGeom prst="rect">
                      <a:avLst/>
                    </a:prstGeom>
                  </pic:spPr>
                </pic:pic>
              </a:graphicData>
            </a:graphic>
          </wp:inline>
        </w:drawing>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【缴纳义务人注意事项】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对报送资料的真实性和合法性承担责任。</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缴纳义务人按照汽油、柴油的销售数量和规定的征收标准申报缴纳油价调控风险准备金。汽油、柴油销售数量是指缴纳义务人于相邻两个调价窗口期之间实际销售数量。征收标准按照成品油价格未调金额确定。</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缴纳义务人可以选择按季度或者按年度缴纳风险准备金。</w:t>
      </w:r>
      <w:r>
        <w:rPr>
          <w:rFonts w:hint="default" w:ascii="Times New Roman" w:hAnsi="Times New Roman" w:eastAsia="仿宋_GB2312" w:cs="Times New Roman"/>
          <w:b w:val="0"/>
          <w:bCs w:val="0"/>
          <w:color w:val="000000"/>
          <w:sz w:val="32"/>
          <w:szCs w:val="32"/>
        </w:rPr>
        <w:t>按季度缴纳的缴纳义务人应于每季度前</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个工作日内进行申报缴纳</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按年度缴纳的缴纳义务人应于每年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日前进行申报缴纳。</w:t>
      </w:r>
      <w:r>
        <w:rPr>
          <w:rFonts w:hint="default" w:ascii="Times New Roman" w:hAnsi="Times New Roman" w:eastAsia="仿宋_GB2312" w:cs="Times New Roman"/>
          <w:b w:val="0"/>
          <w:bCs w:val="0"/>
          <w:color w:val="000000"/>
          <w:sz w:val="32"/>
          <w:szCs w:val="32"/>
        </w:rPr>
        <w:t>具体缴纳方式由缴纳义务人报征收机关核准。缴纳方式一经确定，不得随意变更。</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油价调控风险准备金的缴纳义务人有两个及以上从事成品油生产经营企业的，可实行汇总缴纳。</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按照缴纳义务人报送资料录入数据</w:t>
      </w:r>
      <w:r>
        <w:rPr>
          <w:rFonts w:hint="default" w:ascii="Times New Roman" w:hAnsi="Times New Roman" w:eastAsia="仿宋_GB2312" w:cs="Times New Roman"/>
          <w:b w:val="0"/>
          <w:bCs w:val="0"/>
          <w:color w:val="000000"/>
          <w:sz w:val="32"/>
          <w:szCs w:val="32"/>
        </w:rPr>
        <w:t>。根据信息系统的提示信息，</w:t>
      </w:r>
      <w:r>
        <w:rPr>
          <w:rFonts w:hint="default" w:ascii="Times New Roman" w:hAnsi="Times New Roman" w:eastAsia="仿宋_GB2312" w:cs="Times New Roman"/>
          <w:b w:val="0"/>
          <w:bCs w:val="0"/>
          <w:color w:val="000000"/>
          <w:sz w:val="32"/>
          <w:szCs w:val="32"/>
        </w:rPr>
        <w:t>提醒缴纳义务人更正纠错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w:t>
      </w:r>
      <w:r>
        <w:rPr>
          <w:rFonts w:hint="default" w:ascii="Times New Roman" w:hAnsi="Times New Roman" w:eastAsia="仿宋_GB2312" w:cs="Times New Roman"/>
          <w:b w:val="0"/>
          <w:bCs w:val="0"/>
          <w:color w:val="000000"/>
          <w:sz w:val="32"/>
          <w:szCs w:val="32"/>
        </w:rPr>
        <w:t>申报表</w:t>
      </w:r>
      <w:r>
        <w:rPr>
          <w:rFonts w:hint="default" w:ascii="Times New Roman" w:hAnsi="Times New Roman" w:eastAsia="仿宋_GB2312" w:cs="Times New Roman"/>
          <w:b w:val="0"/>
          <w:bCs w:val="0"/>
          <w:color w:val="000000"/>
          <w:sz w:val="32"/>
          <w:szCs w:val="32"/>
        </w:rPr>
        <w:t>上加盖印章，一份返还</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将资料进行归档。不得将缴纳义务人的办理资料用于与政务服务无关的用途。</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税务机关提供在电子税务局办理油价调控风险准备金申报服务。</w:t>
      </w:r>
      <w:r>
        <w:rPr>
          <w:rFonts w:hint="default" w:ascii="Times New Roman" w:hAnsi="Times New Roman" w:eastAsia="仿宋_GB2312" w:cs="Times New Roman"/>
          <w:b w:val="0"/>
          <w:bCs w:val="0"/>
          <w:color w:val="000000"/>
          <w:sz w:val="32"/>
          <w:szCs w:val="32"/>
        </w:rPr>
        <w:t>其中利用数字证书申报成功的缴纳义务人</w:t>
      </w:r>
      <w:r>
        <w:rPr>
          <w:rFonts w:hint="default" w:ascii="Times New Roman" w:hAnsi="Times New Roman" w:eastAsia="仿宋_GB2312" w:cs="Times New Roman"/>
          <w:b w:val="0"/>
          <w:bCs w:val="0"/>
          <w:color w:val="000000"/>
          <w:sz w:val="32"/>
          <w:szCs w:val="32"/>
        </w:rPr>
        <w:t>，取消纸质资料报送。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0352"/>
    <w:multiLevelType w:val="singleLevel"/>
    <w:tmpl w:val="2009035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EF94A3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06B0E9AE70D34F3A90D3779E9C7B7D1E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2022-08-24T06:42:00Z</dcterms:created>
  <dc:creator>123</dc:creator>
  <cp:lastModifiedBy>123</cp:lastModifiedBy>
  <dcterms:modified xsi:type="dcterms:W3CDTF">2022-08-24T06:42:42Z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06B0E9AE70D34F3A90D3779E9C7B7D1E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2022-08-24T06:42:00Z</dcterms:created>
  <dcterms:modified xsi:type="dcterms:W3CDTF">2022-08-24T06:42:42Z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31727-500b-435e-942e-5cc15e4bea69}">
  <ds:schemaRefs/>
</ds:datastoreItem>
</file>

<file path=customXml/itemProps3.xml><?xml version="1.0" encoding="utf-8"?>
<ds:datastoreItem xmlns:ds="http://schemas.openxmlformats.org/officeDocument/2006/customXml" ds:itemID="{166bb869-dba7-4b7c-acc8-d7998910fae7}">
  <ds:schemaRefs/>
</ds:datastoreItem>
</file>

<file path=customXml/itemProps4.xml><?xml version="1.0" encoding="utf-8"?>
<ds:datastoreItem xmlns:ds="http://schemas.openxmlformats.org/officeDocument/2006/customXml" ds:itemID="{b11a1b86-6fee-4b79-bf92-4f8a6ea2b54e}">
  <ds:schemaRefs/>
</ds:datastoreItem>
</file>

<file path=customXml/itemProps5.xml><?xml version="1.0" encoding="utf-8"?>
<ds:datastoreItem xmlns:ds="http://schemas.openxmlformats.org/officeDocument/2006/customXml" ds:itemID="{3222b56e-b826-4380-9fff-79cbaac2ec59}">
  <ds:schemaRefs/>
</ds:datastoreItem>
</file>

<file path=customXml/itemProps6.xml><?xml version="1.0" encoding="utf-8"?>
<ds:datastoreItem xmlns:ds="http://schemas.openxmlformats.org/officeDocument/2006/customXml" ds:itemID="{a547efac-c8ae-4e10-a9e4-b7036c6e00a6}">
  <ds:schemaRefs/>
</ds:datastoreItem>
</file>

<file path=customXml/itemProps7.xml><?xml version="1.0" encoding="utf-8"?>
<ds:datastoreItem xmlns:ds="http://schemas.openxmlformats.org/officeDocument/2006/customXml" ds:itemID="{92eeaad8-165a-4a9a-af81-84928c740d3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2022-08-24T06:42:00Z</dcterms:created>
  <dc:creator>123</dc:creator>
  <cp:lastModifiedBy>Administrator</cp:lastModifiedBy>
  <dcterms:modified xsi:type="dcterms:W3CDTF">2022-08-25T14:46:44Z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