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ordWrap w:val="0"/>
        <w:topLinePunct w:val="0"/>
        <w:spacing w:before="317" w:after="317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</w:pPr>
      <w:bookmarkStart w:id="0" w:name="_Toc7465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汇算清缴结算多缴退抵税</w:t>
      </w:r>
      <w:bookmarkEnd w:id="0"/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汇算清缴结算多缴退抵税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实行分期预缴、按期汇算结算的纳税人，在清算过程中形成的多缴税款，可以向税务机关申请办理退抵税费。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以下业务也属于汇算清缴结算多缴退抵税：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“营改增”试点纳税人提供应税服务，按照国家有关营业税政策规定差额征收营业税的，因取得的全部价款和价外费用不足以抵减允许扣除项目金额，截至本地区试点实施之日尚未扣除的部分，不得在计算试点纳税人本地区试点实施之日后的销售额时予以抵减，应当向原主管地税机关申请退还营业税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土地增值税清算原因导致多缴企业所得税的退税。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对房产税、城镇土地税税源信息修改，以及增值税、消费税申报税款小于预缴税款，导致发生多缴税款。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纳税人在批准临时占用耕地的期限内恢复所占耕地原状的，全额退还已缴纳的耕地占用税。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《中华人民共和国税收征收管理法》第五十一条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《中华人民共和国税收征收管理法实施细则》第七十八条、第七十九条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3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73"/>
        <w:gridCol w:w="3262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80" w:type="dxa"/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5" w:type="dxa"/>
            <w:gridSpan w:val="2"/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</w:t>
            </w:r>
            <w:bookmarkStart w:id="1" w:name="_Hlk508199061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退（抵）税申请表</w:t>
            </w:r>
            <w:bookmarkEnd w:id="1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》</w:t>
            </w:r>
          </w:p>
        </w:tc>
        <w:tc>
          <w:tcPr>
            <w:tcW w:w="680" w:type="dxa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完税（缴款）凭证复印件</w:t>
            </w:r>
          </w:p>
        </w:tc>
        <w:tc>
          <w:tcPr>
            <w:tcW w:w="680" w:type="dxa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3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税务机关认可的其他记载应退税款内容的资料</w:t>
            </w:r>
          </w:p>
        </w:tc>
        <w:tc>
          <w:tcPr>
            <w:tcW w:w="680" w:type="dxa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3" w:type="dxa"/>
            <w:gridSpan w:val="5"/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3" w:type="dxa"/>
            <w:gridSpan w:val="2"/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  <w:t>适用情形</w:t>
            </w:r>
          </w:p>
        </w:tc>
        <w:tc>
          <w:tcPr>
            <w:tcW w:w="3262" w:type="dxa"/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  <w:t>材料名称</w:t>
            </w:r>
          </w:p>
        </w:tc>
        <w:tc>
          <w:tcPr>
            <w:tcW w:w="680" w:type="dxa"/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53" w:type="dxa"/>
            <w:gridSpan w:val="2"/>
            <w:vMerge w:val="restart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土地增值税清算原因导致多缴企业所得税的退税</w:t>
            </w:r>
          </w:p>
        </w:tc>
        <w:tc>
          <w:tcPr>
            <w:tcW w:w="3262" w:type="dxa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房地产企业是否存在后续开发项目的说明</w:t>
            </w:r>
          </w:p>
        </w:tc>
        <w:tc>
          <w:tcPr>
            <w:tcW w:w="680" w:type="dxa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exact"/>
          <w:jc w:val="center"/>
        </w:trPr>
        <w:tc>
          <w:tcPr>
            <w:tcW w:w="1953" w:type="dxa"/>
            <w:gridSpan w:val="2"/>
            <w:vMerge w:val="continue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3262" w:type="dxa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房地产项目缴纳的土地增值税总额、项目销售收入总额、项目年度销售收入额、各年度应分摊的土地增值税和已经税前扣除的土地增值税、各年度的适用税率的书面说明</w:t>
            </w:r>
          </w:p>
        </w:tc>
        <w:tc>
          <w:tcPr>
            <w:tcW w:w="680" w:type="dxa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因特殊情况不能退至纳税人、扣缴义务人原缴款账户</w:t>
            </w:r>
          </w:p>
        </w:tc>
        <w:tc>
          <w:tcPr>
            <w:tcW w:w="3262" w:type="dxa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由于特殊情况不能退至纳税人、扣缴义务人原缴款账户的书面说明，相关证明资料，和指定接受退税的其他账户及接受退税单位（人）名称的资料</w:t>
            </w:r>
          </w:p>
        </w:tc>
        <w:tc>
          <w:tcPr>
            <w:tcW w:w="680" w:type="dxa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税务机关发现的，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日内办结；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纳税人自行发现的，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日内办结。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pStyle w:val="7"/>
        <w:wordWrap w:val="0"/>
        <w:adjustRightInd/>
        <w:snapToGrid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184140" cy="1769745"/>
            <wp:effectExtent l="0" t="0" r="16510" b="1905"/>
            <wp:docPr id="148" name="_x0000_i3236" descr="C:\Users\baoqianyu\Desktop\流程图\流转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_x0000_i3236" descr="C:\Users\baoqianyu\Desktop\流程图\流转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97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文书表单可在省（自治区、直辖市和计划单列市）税务局网站“下载中心”栏目查询下载或到办税服务厅领取。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纳税人提供的各项资料为复印件的，均须注明“与原件一致”并签章。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对已缴纳契税的购房单位和个人，在未办理房屋权属变更登记前退房的，退还已纳契税；在办理房屋权属变更登记后退房的，不予退还已纳契税。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独立核算的发、供电企业结算缴纳增值税多缴不退，结转下期抵扣或抵减下期应纳税额。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除出口退税以外，纳税人既有应退税款又有欠缴税款的，税务机关可以将纳税人的应退税款和利息先抵扣欠缴的税款；抵扣后有余额的，纳税人可以申请办理应退余额的退库。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）按照纳税人报送材料录入数据。根据信息系统的提示信息，提醒纳税人更正纠错。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）办税服务厅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个工作日内将资料信息流转至相关责任部门。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办税服务厅接收到相关责任部门反馈后，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个工作日内通知纳税人领取办理结果，制作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发放《税务事项通知书》。电子税务局办理的，将办理结果通过电子税务局反馈给纳税人。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将资料进行归档。不得将纳税人的办理材料用于与政务服务无关的用途。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2" w:name="_GoBack"/>
      <w:bookmarkEnd w:id="2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【升级规范】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利用数字证书申报成功的纳税人，取消纸质资料报送。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税务机关能够获取相关信息的，可不再报送纸质资料。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9E0A6"/>
    <w:multiLevelType w:val="singleLevel"/>
    <w:tmpl w:val="3F59E0A6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7169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中间 式样"/>
    <w:qFormat/>
    <w:uiPriority w:val="0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7">
    <w:name w:val="【事项名称】"/>
    <w:qFormat/>
    <w:uiPriority w:val="0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ascii="黑体" w:hAnsi="黑体" w:eastAsia="黑体" w:cs="Times New Roman"/>
      <w:bCs/>
      <w:kern w:val="2"/>
      <w:sz w:val="24"/>
      <w:szCs w:val="24"/>
      <w:lang w:val="en-US" w:eastAsia="zh-CN" w:bidi="ar-SA"/>
    </w:rPr>
  </w:style>
  <w:style w:type="paragraph" w:customStyle="1" w:styleId="8">
    <w:name w:val="材料 表头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21"/>
      <w:szCs w:val="21"/>
      <w:lang w:val="zh-CN" w:eastAsia="zh-CN" w:bidi="ar-SA"/>
    </w:rPr>
  </w:style>
  <w:style w:type="paragraph" w:customStyle="1" w:styleId="9">
    <w:name w:val="材料 文本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7ED3ED7D7C5A4CA8A53921ADD8349918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2022-08-24T06:00:00Z</dcterms:created>
  <dc:creator>123</dc:creator>
  <cp:lastModifiedBy>123</cp:lastModifiedBy>
  <dcterms:modified xsi:type="dcterms:W3CDTF">2022-08-24T06:00:50Z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7ED3ED7D7C5A4CA8A53921ADD8349918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2022-08-24T06:00:00Z</dcterms:created>
  <dcterms:modified xsi:type="dcterms:W3CDTF">2022-08-24T06:00:50Z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abb48d-16e7-4f0f-9c7f-60765f857df0}">
  <ds:schemaRefs/>
</ds:datastoreItem>
</file>

<file path=customXml/itemProps3.xml><?xml version="1.0" encoding="utf-8"?>
<ds:datastoreItem xmlns:ds="http://schemas.openxmlformats.org/officeDocument/2006/customXml" ds:itemID="{08f96e46-9c18-4529-bc80-5c92be9d887d}">
  <ds:schemaRefs/>
</ds:datastoreItem>
</file>

<file path=customXml/itemProps4.xml><?xml version="1.0" encoding="utf-8"?>
<ds:datastoreItem xmlns:ds="http://schemas.openxmlformats.org/officeDocument/2006/customXml" ds:itemID="{241fc79e-4986-4b16-a170-73fd91278ad2}">
  <ds:schemaRefs/>
</ds:datastoreItem>
</file>

<file path=customXml/itemProps5.xml><?xml version="1.0" encoding="utf-8"?>
<ds:datastoreItem xmlns:ds="http://schemas.openxmlformats.org/officeDocument/2006/customXml" ds:itemID="{a215a479-ad59-4553-95ac-9d5550a9c162}">
  <ds:schemaRefs/>
</ds:datastoreItem>
</file>

<file path=customXml/itemProps6.xml><?xml version="1.0" encoding="utf-8"?>
<ds:datastoreItem xmlns:ds="http://schemas.openxmlformats.org/officeDocument/2006/customXml" ds:itemID="{4bf92d75-2e22-44d7-abc7-7d6f2f8b3082}">
  <ds:schemaRefs/>
</ds:datastoreItem>
</file>

<file path=customXml/itemProps7.xml><?xml version="1.0" encoding="utf-8"?>
<ds:datastoreItem xmlns:ds="http://schemas.openxmlformats.org/officeDocument/2006/customXml" ds:itemID="{519413fd-b108-4677-9054-89d5c9e03f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2022-08-24T06:00:00Z</dcterms:created>
  <dc:creator>123</dc:creator>
  <cp:lastModifiedBy>Administrator</cp:lastModifiedBy>
  <dcterms:modified xsi:type="dcterms:W3CDTF">2022-08-25T13:07:03Z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