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32168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房地产税收一体化信息报告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房地产税收一体化信息报告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房地产税收一体化管理过程中，纳税人应在土地使用权取得、房地产开发、交易和保有等环节，向税务机关报告土地出（转）让、税源申报明细报告、增量房销售、存量房销售等信息。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《房地产税收一体化管理业务规程》（国税发〔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2007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〕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114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号）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【办理材料】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土地出（转）让信息报告：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《土地出让（转让）合同》原件及复印件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原件查验后退回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《土地使用证》复印件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</w:tbl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税源申报明细报告：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《税源申报明细报告表》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</w:tbl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增量房销售信息报告：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《增量房销售信息表》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开发商与购房者初次签订购房合同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《房屋销售合同》原件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查验后退回</w:t>
            </w:r>
          </w:p>
        </w:tc>
      </w:tr>
    </w:tbl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存量房销售信息报告：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《存量房销售信息表》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纳税人进行交易的存量房房产之前未进行过登记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房屋转让合同复印件或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18"/>
                <w:lang w:eastAsia="zh-CN"/>
              </w:rPr>
              <w:t>不动产权属资料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复印件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可通过办税服务厅（场所）办理，具体地点可从省（自治区、直辖市和计划单列市）税务局网站“纳税服务”栏目查询。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【联系电话】</w:t>
      </w:r>
    </w:p>
    <w:p>
      <w:pPr>
        <w:wordWrap w:val="0"/>
        <w:spacing w:line="360" w:lineRule="auto"/>
        <w:ind w:firstLine="48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主管税务机关对外公开的联系电话，可从省（自治区、直辖市和计划单列市）税务局网站“纳税服务”栏目查询。</w:t>
      </w:r>
    </w:p>
    <w:p>
      <w:pPr>
        <w:wordWrap w:val="0"/>
        <w:spacing w:line="360" w:lineRule="auto"/>
        <w:ind w:firstLine="480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drawing>
          <wp:inline distT="0" distB="0" distL="0" distR="0">
            <wp:extent cx="5184140" cy="1765935"/>
            <wp:effectExtent l="0" t="0" r="16510" b="0"/>
            <wp:docPr id="120" name="_x0000_i3194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_x0000_i3194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【纳税人注意事项】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房地产税收一体化管理，是以涉及房地产各税种日常管理为基础，通过各级税务与自然资源、住房建设、发改委、监察等部门协作，涉税信息共享，先税后证、以票控税、源泉控管，提高房地产税收管理的科学化、精细化、规范化水平，方便纳税人办理房地产涉税事项的重要举措。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房地产税收包括土地使用权取得和房地产开发、交易、保有等环节涉及的增值税、城市维护建设税、教育费附加、企业所得税、个人所得税、土地增值税、城镇土地使用税、房产税、印花税、耕地占用税、契税等税种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受理</w:t>
      </w:r>
    </w:p>
    <w:p>
      <w:pPr>
        <w:wordWrap w:val="0"/>
        <w:spacing w:line="360" w:lineRule="auto"/>
        <w:ind w:firstLine="480"/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按照纳税人报送材料录入数据。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办理结束后，在文书表单上加盖印章，一份返还纳税人；电子税务局办理的，将办理结果通过电子税务局反馈给纳税人。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将资料进行归档。不得将纳税人的办理材料用于与政务服务无关的用途。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bCs/>
          <w:color w:val="000000"/>
          <w:sz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税务机关提供在电子税务局办理房地产税收一体化信息报告服务。</w:t>
      </w:r>
    </w:p>
    <w:p>
      <w:pPr>
        <w:wordWrap w:val="0"/>
        <w:spacing w:line="360" w:lineRule="auto"/>
        <w:ind w:firstLine="48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取消《土地使用证》复印件、《房屋转让合同》复印件、《房产证》复印件资料报送。</w:t>
      </w:r>
    </w:p>
    <w:p>
      <w:pPr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D8A745"/>
    <w:multiLevelType w:val="singleLevel"/>
    <w:tmpl w:val="A9D8A745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585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6205F4E53B134D3FA8608374CBD5637A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2022-08-24T05:08:00Z</dcterms:created>
  <dc:creator>123</dc:creator>
  <cp:lastModifiedBy>123</cp:lastModifiedBy>
  <dcterms:modified xsi:type="dcterms:W3CDTF">2022-08-24T05:09:11Z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6205F4E53B134D3FA8608374CBD5637A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2022-08-24T05:08:00Z</dcterms:created>
  <dcterms:modified xsi:type="dcterms:W3CDTF">2022-08-24T05:09:11Z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fd19de-82d3-4802-afff-84d24a465af9}">
  <ds:schemaRefs/>
</ds:datastoreItem>
</file>

<file path=customXml/itemProps3.xml><?xml version="1.0" encoding="utf-8"?>
<ds:datastoreItem xmlns:ds="http://schemas.openxmlformats.org/officeDocument/2006/customXml" ds:itemID="{02dfbbc5-0335-49d0-a9ba-e55ee9ccf324}">
  <ds:schemaRefs/>
</ds:datastoreItem>
</file>

<file path=customXml/itemProps4.xml><?xml version="1.0" encoding="utf-8"?>
<ds:datastoreItem xmlns:ds="http://schemas.openxmlformats.org/officeDocument/2006/customXml" ds:itemID="{63ae9b1a-746a-4d77-80c3-59281878aa20}">
  <ds:schemaRefs/>
</ds:datastoreItem>
</file>

<file path=customXml/itemProps5.xml><?xml version="1.0" encoding="utf-8"?>
<ds:datastoreItem xmlns:ds="http://schemas.openxmlformats.org/officeDocument/2006/customXml" ds:itemID="{03780248-c03c-490f-957e-db924183b92e}">
  <ds:schemaRefs/>
</ds:datastoreItem>
</file>

<file path=customXml/itemProps6.xml><?xml version="1.0" encoding="utf-8"?>
<ds:datastoreItem xmlns:ds="http://schemas.openxmlformats.org/officeDocument/2006/customXml" ds:itemID="{50a20784-4043-402b-8e6f-90ea9f1a61ac}">
  <ds:schemaRefs/>
</ds:datastoreItem>
</file>

<file path=customXml/itemProps7.xml><?xml version="1.0" encoding="utf-8"?>
<ds:datastoreItem xmlns:ds="http://schemas.openxmlformats.org/officeDocument/2006/customXml" ds:itemID="{00064969-88d1-47b5-97b4-cd25b0df5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2022-08-24T05:08:00Z</dcterms:created>
  <dc:creator>123</dc:creator>
  <cp:lastModifiedBy>Administrator</cp:lastModifiedBy>
  <dcterms:modified xsi:type="dcterms:W3CDTF">2022-08-25T08:02:28Z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