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bookmarkStart w:id="0" w:name="_Toc16803"/>
      <w:bookmarkStart w:id="1" w:name="_Toc21774"/>
      <w:r>
        <w:rPr>
          <w:rFonts w:hint="eastAsia" w:ascii="方正小标宋_GBK" w:hAnsi="方正小标宋_GBK" w:eastAsia="方正小标宋_GBK" w:cs="方正小标宋_GBK"/>
          <w:b w:val="0"/>
          <w:bCs w:val="0"/>
          <w:color w:val="000000"/>
          <w:sz w:val="40"/>
          <w:szCs w:val="40"/>
        </w:rPr>
        <w:t>居民企业（查账征收）企业所得税</w:t>
      </w:r>
    </w:p>
    <w:p>
      <w:pPr>
        <w:pStyle w:val="6"/>
        <w:wordWrap w:val="0"/>
        <w:topLinePunct w:val="0"/>
        <w:spacing w:before="317" w:after="317"/>
        <w:ind w:left="0" w:leftChars="0" w:firstLine="0" w:firstLineChars="0"/>
        <w:jc w:val="center"/>
        <w:rPr>
          <w:rFonts w:hint="eastAsia" w:ascii="方正小标宋_GBK" w:hAnsi="方正小标宋_GBK" w:eastAsia="方正小标宋_GBK" w:cs="方正小标宋_GBK"/>
          <w:b w:val="0"/>
          <w:bCs w:val="0"/>
          <w:color w:val="000000"/>
          <w:sz w:val="40"/>
          <w:szCs w:val="40"/>
        </w:rPr>
      </w:pPr>
      <w:r>
        <w:rPr>
          <w:rFonts w:hint="eastAsia" w:ascii="方正小标宋_GBK" w:hAnsi="方正小标宋_GBK" w:eastAsia="方正小标宋_GBK" w:cs="方正小标宋_GBK"/>
          <w:b w:val="0"/>
          <w:bCs w:val="0"/>
          <w:color w:val="000000"/>
          <w:sz w:val="40"/>
          <w:szCs w:val="40"/>
        </w:rPr>
        <w:t>月（季）度申报</w:t>
      </w:r>
      <w:bookmarkEnd w:id="0"/>
      <w:bookmarkEnd w:id="1"/>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【事项名称】</w:t>
      </w:r>
    </w:p>
    <w:p>
      <w:pPr>
        <w:pStyle w:val="8"/>
        <w:wordWrap w:val="0"/>
        <w:adjustRightInd/>
        <w:snapToGrid/>
        <w:ind w:left="0" w:firstLine="480"/>
        <w:rPr>
          <w:rFonts w:hint="eastAsia" w:ascii="仿宋_GB2312" w:hAnsi="仿宋_GB2312" w:eastAsia="仿宋_GB2312" w:cs="仿宋_GB2312"/>
          <w:b w:val="0"/>
          <w:bCs w:val="0"/>
          <w:color w:val="000000"/>
          <w:sz w:val="32"/>
          <w:szCs w:val="32"/>
        </w:rPr>
      </w:pPr>
      <w:bookmarkStart w:id="2" w:name="_Toc9408"/>
      <w:r>
        <w:rPr>
          <w:rFonts w:hint="eastAsia" w:ascii="仿宋_GB2312" w:hAnsi="仿宋_GB2312" w:eastAsia="仿宋_GB2312" w:cs="仿宋_GB2312"/>
          <w:b w:val="0"/>
          <w:bCs w:val="0"/>
          <w:color w:val="000000"/>
          <w:sz w:val="32"/>
          <w:szCs w:val="32"/>
        </w:rPr>
        <w:t>居民企业（查账征收）企业所得税月（季）度申报</w:t>
      </w:r>
      <w:bookmarkEnd w:id="2"/>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【业务描述】</w:t>
      </w:r>
    </w:p>
    <w:p>
      <w:pPr>
        <w:pStyle w:val="8"/>
        <w:wordWrap w:val="0"/>
        <w:adjustRightInd/>
        <w:snapToGrid/>
        <w:ind w:left="0" w:firstLine="480"/>
        <w:rPr>
          <w:rFonts w:hint="eastAsia" w:ascii="仿宋_GB2312" w:hAnsi="仿宋_GB2312" w:eastAsia="仿宋_GB2312" w:cs="仿宋_GB2312"/>
          <w:b w:val="0"/>
          <w:bCs w:val="0"/>
          <w:color w:val="000000"/>
          <w:sz w:val="32"/>
          <w:szCs w:val="32"/>
        </w:rPr>
      </w:pPr>
      <w:bookmarkStart w:id="3" w:name="_Toc27843"/>
      <w:r>
        <w:rPr>
          <w:rFonts w:hint="eastAsia" w:ascii="仿宋_GB2312" w:hAnsi="仿宋_GB2312" w:eastAsia="仿宋_GB2312" w:cs="仿宋_GB2312"/>
          <w:b w:val="0"/>
          <w:bCs w:val="0"/>
          <w:color w:val="000000"/>
          <w:sz w:val="32"/>
          <w:szCs w:val="32"/>
        </w:rPr>
        <w:t>实行查账征收方式申报企业所得税的居民企业（包括境外注册中资控股居民企业）在月份或者季度终了之日起的</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15</w:t>
      </w:r>
      <w:r>
        <w:rPr>
          <w:rFonts w:hint="eastAsia" w:ascii="仿宋_GB2312" w:hAnsi="仿宋_GB2312" w:eastAsia="仿宋_GB2312" w:cs="仿宋_GB2312"/>
          <w:b w:val="0"/>
          <w:bCs w:val="0"/>
          <w:color w:val="000000"/>
          <w:sz w:val="32"/>
          <w:szCs w:val="32"/>
        </w:rPr>
        <w:t>日内，应依照税收法律、法规、规章及其他有关规定，向税务机关填报《中华人民共和国企业所得税月（季）度预缴纳税申报表（A类，</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eastAsia" w:ascii="仿宋_GB2312" w:hAnsi="仿宋_GB2312" w:eastAsia="仿宋_GB2312" w:cs="仿宋_GB2312"/>
          <w:b w:val="0"/>
          <w:bCs w:val="0"/>
          <w:color w:val="000000"/>
          <w:sz w:val="32"/>
          <w:szCs w:val="32"/>
        </w:rPr>
        <w:t>版）》及其他相关资料，进行月（季）度预缴纳税申报。</w:t>
      </w:r>
      <w:bookmarkEnd w:id="3"/>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【设定依据】</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《中华人民共和国税收征收管理法》第二十五条第一款</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《中华人民共和国企业所得税法》第一条、第五十四条</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【办理材料】</w:t>
      </w:r>
    </w:p>
    <w:tbl>
      <w:tblPr>
        <w:tblStyle w:val="3"/>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hidden/>
        </w:trPr>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《中华人民共和国企业所得税月（季）度预缴纳税申报表（A类，</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2018</w:t>
            </w:r>
            <w:r>
              <w:rPr>
                <w:rFonts w:hint="eastAsia" w:ascii="仿宋_GB2312" w:hAnsi="仿宋_GB2312" w:eastAsia="仿宋_GB2312" w:cs="仿宋_GB2312"/>
                <w:b w:val="0"/>
                <w:bCs w:val="0"/>
                <w:color w:val="000000"/>
                <w:sz w:val="32"/>
                <w:szCs w:val="32"/>
              </w:rPr>
              <w:t>年版）》</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9"/>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381" w:type="dxa"/>
            <w:gridSpan w:val="2"/>
            <w:tcBorders>
              <w:left w:val="single" w:color="auto" w:sz="4" w:space="0"/>
              <w:right w:val="single" w:color="auto" w:sz="4" w:space="0"/>
            </w:tcBorders>
            <w:shd w:val="clear" w:color="auto" w:fill="D8D8D8"/>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rPr>
              <w:t>适用情形</w:t>
            </w:r>
          </w:p>
        </w:tc>
        <w:tc>
          <w:tcPr>
            <w:tcW w:w="2835" w:type="dxa"/>
            <w:tcBorders>
              <w:left w:val="single" w:color="auto" w:sz="4" w:space="0"/>
              <w:right w:val="single" w:color="auto" w:sz="4" w:space="0"/>
            </w:tcBorders>
            <w:shd w:val="clear" w:color="auto" w:fill="D8D8D8"/>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rPr>
              <w:t>材料名称</w:t>
            </w:r>
          </w:p>
        </w:tc>
        <w:tc>
          <w:tcPr>
            <w:tcW w:w="680" w:type="dxa"/>
            <w:tcBorders>
              <w:top w:val="single" w:color="auto" w:sz="4" w:space="0"/>
              <w:left w:val="single" w:color="auto" w:sz="4" w:space="0"/>
              <w:right w:val="single" w:color="auto" w:sz="4" w:space="0"/>
            </w:tcBorders>
            <w:shd w:val="clear" w:color="auto" w:fill="D8D8D8"/>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rPr>
              <w:t>数量</w:t>
            </w:r>
          </w:p>
        </w:tc>
        <w:tc>
          <w:tcPr>
            <w:tcW w:w="2268" w:type="dxa"/>
            <w:tcBorders>
              <w:top w:val="single" w:color="auto" w:sz="4" w:space="0"/>
              <w:left w:val="single" w:color="auto" w:sz="4" w:space="0"/>
              <w:right w:val="single" w:color="auto" w:sz="4" w:space="0"/>
            </w:tcBorders>
            <w:shd w:val="clear" w:color="auto" w:fill="D8D8D8"/>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2381" w:type="dxa"/>
            <w:gridSpan w:val="2"/>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有直接管理的跨地区设立的项目部的建筑企业总机构</w:t>
            </w:r>
          </w:p>
        </w:tc>
        <w:tc>
          <w:tcPr>
            <w:tcW w:w="2835" w:type="dxa"/>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建筑企业总机构直接管理的跨地区经营项目部就地预缴税款的完税证明</w:t>
            </w:r>
          </w:p>
        </w:tc>
        <w:tc>
          <w:tcPr>
            <w:tcW w:w="680" w:type="dxa"/>
            <w:tcBorders>
              <w:top w:val="single" w:color="auto" w:sz="4" w:space="0"/>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68" w:type="dxa"/>
            <w:tcBorders>
              <w:top w:val="single" w:color="auto" w:sz="4" w:space="0"/>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1" w:type="dxa"/>
            <w:gridSpan w:val="2"/>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跨省、自治区、直辖市和计划单列市设立的，实行汇总纳税办法的居民企业</w:t>
            </w:r>
            <w:r>
              <w:rPr>
                <w:rFonts w:hint="eastAsia" w:ascii="仿宋_GB2312" w:hAnsi="仿宋_GB2312" w:eastAsia="仿宋_GB2312" w:cs="仿宋_GB2312"/>
                <w:b w:val="0"/>
                <w:bCs w:val="0"/>
                <w:color w:val="000000"/>
                <w:sz w:val="32"/>
                <w:szCs w:val="32"/>
              </w:rPr>
              <w:t>（分支机构）</w:t>
            </w:r>
          </w:p>
        </w:tc>
        <w:tc>
          <w:tcPr>
            <w:tcW w:w="2835" w:type="dxa"/>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《企业所得税汇总纳税分支机构所得税分配表》复印件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经总机构所在地主管税务机关受理的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符合条件的境外投资居民企业</w:t>
            </w:r>
          </w:p>
        </w:tc>
        <w:tc>
          <w:tcPr>
            <w:tcW w:w="2835" w:type="dxa"/>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《居民企业参股外国企业信息报告表》</w:t>
            </w:r>
          </w:p>
        </w:tc>
        <w:tc>
          <w:tcPr>
            <w:tcW w:w="680" w:type="dxa"/>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68" w:type="dxa"/>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381" w:type="dxa"/>
            <w:gridSpan w:val="2"/>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适用股权激励和技术入股递延纳税政策的企业</w:t>
            </w:r>
          </w:p>
        </w:tc>
        <w:tc>
          <w:tcPr>
            <w:tcW w:w="2835" w:type="dxa"/>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《技术成果投资入股企业所得税递延纳税备案表》</w:t>
            </w:r>
          </w:p>
        </w:tc>
        <w:tc>
          <w:tcPr>
            <w:tcW w:w="680" w:type="dxa"/>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份</w:t>
            </w:r>
          </w:p>
        </w:tc>
        <w:tc>
          <w:tcPr>
            <w:tcW w:w="2268" w:type="dxa"/>
            <w:tcBorders>
              <w:left w:val="single" w:color="auto" w:sz="4" w:space="0"/>
              <w:right w:val="single" w:color="auto" w:sz="4" w:space="0"/>
            </w:tcBorders>
            <w:vAlign w:val="center"/>
          </w:tcPr>
          <w:p>
            <w:pPr>
              <w:pStyle w:val="10"/>
              <w:wordWrap w:val="0"/>
              <w:adjustRightInd/>
              <w:snapToGrid/>
              <w:spacing w:line="240" w:lineRule="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投资完成后首次预缴申报时报送</w:t>
            </w:r>
          </w:p>
        </w:tc>
      </w:tr>
    </w:tbl>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【办理地点】</w:t>
      </w:r>
    </w:p>
    <w:p>
      <w:pPr>
        <w:wordWrap w:val="0"/>
        <w:spacing w:line="360" w:lineRule="auto"/>
        <w:ind w:firstLine="420"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可通过办税服务厅（场所）、电子税务局办理，</w:t>
      </w:r>
      <w:r>
        <w:rPr>
          <w:rFonts w:hint="eastAsia" w:ascii="仿宋_GB2312" w:hAnsi="仿宋_GB2312" w:eastAsia="仿宋_GB2312" w:cs="仿宋_GB2312"/>
          <w:b w:val="0"/>
          <w:bCs w:val="0"/>
          <w:color w:val="000000"/>
          <w:sz w:val="32"/>
          <w:szCs w:val="32"/>
        </w:rPr>
        <w:t>具体地点和网址可从省（自治区、直辖市和计划单列市）税务局网站“纳税服务”栏目查询。</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此事项可同城通办。</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【办理机构】</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主管税务机关</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【收费标准】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不收费</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【办理时间】</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即时办结</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【联系电话】</w:t>
      </w:r>
    </w:p>
    <w:p>
      <w:pPr>
        <w:pStyle w:val="7"/>
        <w:wordWrap w:val="0"/>
        <w:adjustRightInd/>
        <w:snapToGrid/>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主管税务机关对外公开的联系电话，可从省（自治区、直辖市和计划单列市）税务局网站“纳税服务”栏目查询。</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【办理流程】</w:t>
      </w:r>
    </w:p>
    <w:p>
      <w:pPr>
        <w:wordWrap w:val="0"/>
        <w:spacing w:line="360" w:lineRule="auto"/>
        <w:ind w:firstLine="0"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drawing>
          <wp:inline distT="0" distB="0" distL="0" distR="0">
            <wp:extent cx="5045075" cy="1718945"/>
            <wp:effectExtent l="0" t="0" r="3175" b="0"/>
            <wp:docPr id="68" name="_x0000_i3826"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_x0000_i3826" descr="C:\Users\baoqianyu\Desktop\流程图\即办\纳税人.png纳税人"/>
                    <pic:cNvPicPr>
                      <a:picLocks noChangeAspect="1"/>
                    </pic:cNvPicPr>
                  </pic:nvPicPr>
                  <pic:blipFill>
                    <a:blip r:embed="rId4"/>
                    <a:stretch>
                      <a:fillRect/>
                    </a:stretch>
                  </pic:blipFill>
                  <pic:spPr>
                    <a:xfrm>
                      <a:off x="0" y="0"/>
                      <a:ext cx="5045075" cy="1718945"/>
                    </a:xfrm>
                    <a:prstGeom prst="rect">
                      <a:avLst/>
                    </a:prstGeom>
                    <a:ln>
                      <a:noFill/>
                    </a:ln>
                  </pic:spPr>
                </pic:pic>
              </a:graphicData>
            </a:graphic>
          </wp:inline>
        </w:drawing>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【纳税人注意事项】</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纳税人对报送材料的真实性和合法性承担责任。</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文书表单可在省（自治区、直辖市和计划单列市）税务局网站“下载中心”栏目查询下载或到办税服务厅领取。</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税务机关提供“最多跑一次”服务。纳税人在资料完整且符合法定受理条件的前提下，最多只需要到税务机关跑一次。</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sz w:val="32"/>
          <w:szCs w:val="32"/>
        </w:rPr>
        <w:t>纳税人使用符合电子签名法规定条件的电子签名，与手写签名或者盖章具有同等法律效力。</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5.</w:t>
      </w:r>
      <w:r>
        <w:rPr>
          <w:rFonts w:hint="eastAsia" w:ascii="仿宋_GB2312" w:hAnsi="仿宋_GB2312" w:eastAsia="仿宋_GB2312" w:cs="仿宋_GB2312"/>
          <w:b w:val="0"/>
          <w:bCs w:val="0"/>
          <w:color w:val="000000"/>
          <w:sz w:val="32"/>
          <w:szCs w:val="32"/>
        </w:rPr>
        <w:t>企业所得税预缴申报必须连续进行,中间缺漏的属期要先补充完整,才能继续申报。</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6.</w:t>
      </w:r>
      <w:r>
        <w:rPr>
          <w:rFonts w:hint="eastAsia" w:ascii="仿宋_GB2312" w:hAnsi="仿宋_GB2312" w:eastAsia="仿宋_GB2312" w:cs="仿宋_GB2312"/>
          <w:b w:val="0"/>
          <w:bCs w:val="0"/>
          <w:color w:val="000000"/>
          <w:sz w:val="32"/>
          <w:szCs w:val="32"/>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eastAsia" w:ascii="仿宋_GB2312" w:hAnsi="仿宋_GB2312" w:eastAsia="仿宋_GB2312" w:cs="仿宋_GB2312"/>
          <w:b w:val="0"/>
          <w:bCs w:val="0"/>
          <w:color w:val="000000"/>
          <w:sz w:val="32"/>
          <w:szCs w:val="32"/>
          <w:lang w:val="zh-CN"/>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7.</w:t>
      </w:r>
      <w:r>
        <w:rPr>
          <w:rFonts w:hint="eastAsia" w:ascii="仿宋_GB2312" w:hAnsi="仿宋_GB2312" w:eastAsia="仿宋_GB2312" w:cs="仿宋_GB2312"/>
          <w:b w:val="0"/>
          <w:bCs w:val="0"/>
          <w:color w:val="000000"/>
          <w:sz w:val="32"/>
          <w:szCs w:val="32"/>
          <w:lang w:val="zh-CN"/>
        </w:rPr>
        <w:t>企业所得税分月或者分季预缴，由税务机关具体核定。符合条件的小型微利企业，实行按季度申报预缴企业所得税。</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8.</w:t>
      </w:r>
      <w:r>
        <w:rPr>
          <w:rFonts w:hint="eastAsia" w:ascii="仿宋_GB2312" w:hAnsi="仿宋_GB2312" w:eastAsia="仿宋_GB2312" w:cs="仿宋_GB2312"/>
          <w:b w:val="0"/>
          <w:bCs w:val="0"/>
          <w:color w:val="000000"/>
          <w:sz w:val="32"/>
          <w:szCs w:val="32"/>
        </w:rPr>
        <w:t>纳税期限遇最后一日是法定休假日的，以休假日期满的次日为期限的最后一日；在期限内有连续</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日以上法定休假日的，按休假日天数顺延。</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9.</w:t>
      </w:r>
      <w:r>
        <w:rPr>
          <w:rFonts w:hint="eastAsia" w:ascii="仿宋_GB2312" w:hAnsi="仿宋_GB2312" w:eastAsia="仿宋_GB2312" w:cs="仿宋_GB2312"/>
          <w:b w:val="0"/>
          <w:bCs w:val="0"/>
          <w:color w:val="000000"/>
          <w:sz w:val="32"/>
          <w:szCs w:val="32"/>
        </w:rPr>
        <w:t>跨地区经营的汇总纳税纳税人，总机构应分摊的预缴比例填报</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eastAsia" w:ascii="仿宋_GB2312" w:hAnsi="仿宋_GB2312" w:eastAsia="仿宋_GB2312" w:cs="仿宋_GB2312"/>
          <w:b w:val="0"/>
          <w:bCs w:val="0"/>
          <w:color w:val="000000"/>
          <w:sz w:val="32"/>
          <w:szCs w:val="32"/>
        </w:rPr>
        <w:t>%，中央财政集中分配的预缴比例填报</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25</w:t>
      </w:r>
      <w:r>
        <w:rPr>
          <w:rFonts w:hint="eastAsia" w:ascii="仿宋_GB2312" w:hAnsi="仿宋_GB2312" w:eastAsia="仿宋_GB2312" w:cs="仿宋_GB2312"/>
          <w:b w:val="0"/>
          <w:bCs w:val="0"/>
          <w:color w:val="000000"/>
          <w:sz w:val="32"/>
          <w:szCs w:val="32"/>
        </w:rPr>
        <w:t>%，全部分支机构应分摊的预缴比例填报</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50</w:t>
      </w:r>
      <w:r>
        <w:rPr>
          <w:rFonts w:hint="eastAsia" w:ascii="仿宋_GB2312" w:hAnsi="仿宋_GB2312" w:eastAsia="仿宋_GB2312" w:cs="仿宋_GB2312"/>
          <w:b w:val="0"/>
          <w:bCs w:val="0"/>
          <w:color w:val="000000"/>
          <w:sz w:val="32"/>
          <w:szCs w:val="32"/>
        </w:rPr>
        <w:t>%；省内经营的汇总纳税纳税人，按各省规定执行。</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10.</w:t>
      </w:r>
      <w:r>
        <w:rPr>
          <w:rFonts w:hint="eastAsia" w:ascii="仿宋_GB2312" w:hAnsi="仿宋_GB2312" w:eastAsia="仿宋_GB2312" w:cs="仿宋_GB2312"/>
          <w:b w:val="0"/>
          <w:bCs w:val="0"/>
          <w:color w:val="000000"/>
          <w:sz w:val="32"/>
          <w:szCs w:val="32"/>
        </w:rPr>
        <w:t>建筑企业总机构直接管理的跨地区设立的项目部，应按项目实际经营收入的</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0.2</w:t>
      </w:r>
      <w:r>
        <w:rPr>
          <w:rFonts w:hint="eastAsia" w:ascii="仿宋_GB2312" w:hAnsi="仿宋_GB2312" w:eastAsia="仿宋_GB2312" w:cs="仿宋_GB2312"/>
          <w:b w:val="0"/>
          <w:bCs w:val="0"/>
          <w:color w:val="000000"/>
          <w:sz w:val="32"/>
          <w:szCs w:val="32"/>
        </w:rPr>
        <w:t>%按月或按季由总机构向项目所在地预分企业所得税，并由项目部向所在地主管税务机关预缴。</w:t>
      </w:r>
    </w:p>
    <w:p>
      <w:pPr>
        <w:wordWrap w:val="0"/>
        <w:spacing w:line="360" w:lineRule="auto"/>
        <w:ind w:firstLine="480"/>
        <w:rPr>
          <w:rFonts w:hint="eastAsia" w:ascii="仿宋_GB2312" w:hAnsi="仿宋_GB2312" w:eastAsia="仿宋_GB2312" w:cs="仿宋_GB2312"/>
          <w:b w:val="0"/>
          <w:bCs w:val="0"/>
          <w:color w:val="000000"/>
          <w:sz w:val="32"/>
          <w:szCs w:val="32"/>
          <w:lang w:eastAsia="zh-CN"/>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11.</w:t>
      </w:r>
      <w:r>
        <w:rPr>
          <w:rFonts w:hint="eastAsia" w:ascii="仿宋_GB2312" w:hAnsi="仿宋_GB2312" w:eastAsia="仿宋_GB2312" w:cs="仿宋_GB2312"/>
          <w:b w:val="0"/>
          <w:bCs w:val="0"/>
          <w:color w:val="000000"/>
          <w:sz w:val="32"/>
          <w:szCs w:val="32"/>
        </w:rPr>
        <w:t>纳税人享受减税、免税待遇的，在减税、免税期间应当按照规定办理纳税申报，填写申报表及其附表上的优惠栏目</w:t>
      </w:r>
      <w:r>
        <w:rPr>
          <w:rFonts w:hint="eastAsia" w:ascii="仿宋_GB2312" w:hAnsi="仿宋_GB2312" w:eastAsia="仿宋_GB2312" w:cs="仿宋_GB2312"/>
          <w:b w:val="0"/>
          <w:bCs w:val="0"/>
          <w:color w:val="000000"/>
          <w:sz w:val="32"/>
          <w:szCs w:val="32"/>
          <w:lang w:eastAsia="zh-CN"/>
        </w:rPr>
        <w:t>。</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【基本规范】</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受理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）不得违规受理申报。</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办理</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rPr>
        <w:t>按照纳税人报送材料录入数据。根据信息系统的提示信息，提醒纳税人更正纠错。</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）按规定开具税收票证。</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反馈</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办理结束后，在申报表上加盖印章，一份返还纳税人；电子税务局办理的，将办理结果通过电子税务局反馈给纳税人。</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sz w:val="32"/>
          <w:szCs w:val="32"/>
        </w:rPr>
        <w:t>归档</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将资料进行归档。不得将纳税人的办理材料用于与政务服务无关的用途。</w:t>
      </w:r>
    </w:p>
    <w:p>
      <w:pPr>
        <w:pStyle w:val="7"/>
        <w:numPr>
          <w:ilvl w:val="0"/>
          <w:numId w:val="1"/>
        </w:numPr>
        <w:wordWrap w:val="0"/>
        <w:adjustRightInd/>
        <w:snapToGrid/>
        <w:ind w:left="0" w:leftChars="0" w:firstLine="397" w:firstLineChars="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【升级规范】</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1.</w:t>
      </w:r>
      <w:r>
        <w:rPr>
          <w:rFonts w:hint="eastAsia" w:ascii="仿宋_GB2312" w:hAnsi="仿宋_GB2312" w:eastAsia="仿宋_GB2312" w:cs="仿宋_GB2312"/>
          <w:b w:val="0"/>
          <w:bCs w:val="0"/>
          <w:color w:val="000000"/>
          <w:sz w:val="32"/>
          <w:szCs w:val="32"/>
        </w:rPr>
        <w:t>利用数字证书申报成功的纳税人，取消纸质资料报送。</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2.</w:t>
      </w:r>
      <w:r>
        <w:rPr>
          <w:rFonts w:hint="eastAsia" w:ascii="仿宋_GB2312" w:hAnsi="仿宋_GB2312" w:eastAsia="仿宋_GB2312" w:cs="仿宋_GB2312"/>
          <w:b w:val="0"/>
          <w:bCs w:val="0"/>
          <w:color w:val="000000"/>
          <w:sz w:val="32"/>
          <w:szCs w:val="32"/>
        </w:rPr>
        <w:t>实现汇总纳税企业企业所得税涉税信息跨省共享。</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3.</w:t>
      </w:r>
      <w:r>
        <w:rPr>
          <w:rFonts w:hint="eastAsia" w:ascii="仿宋_GB2312" w:hAnsi="仿宋_GB2312" w:eastAsia="仿宋_GB2312" w:cs="仿宋_GB2312"/>
          <w:b w:val="0"/>
          <w:bCs w:val="0"/>
          <w:color w:val="000000"/>
          <w:sz w:val="32"/>
          <w:szCs w:val="32"/>
        </w:rPr>
        <w:t>推进税（费）种要素申报，逐步扩大申报表免填数据项范围，实现部分申报表由系统自动生成，推送给纳税人由其确认后报送。</w:t>
      </w:r>
    </w:p>
    <w:p>
      <w:pPr>
        <w:wordWrap w:val="0"/>
        <w:spacing w:line="360" w:lineRule="auto"/>
        <w:ind w:firstLine="480"/>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aps w:val="0"/>
          <w:smallCaps w:val="0"/>
          <w:shadow/>
          <w:vanish w:val="0"/>
          <w:color w:val="000000"/>
          <w:sz w:val="32"/>
          <w:szCs w:val="32"/>
          <w:lang w:eastAsia="zh-CN"/>
          <w14:shadow w14:blurRad="0" w14:dist="0" w14:dir="0" w14:sx="100000" w14:sy="100000" w14:kx="0" w14:ky="0" w14:algn="none">
            <w14:srgbClr w14:val="808080"/>
          </w14:shadow>
        </w:rPr>
        <w:t>4.</w:t>
      </w:r>
      <w:r>
        <w:rPr>
          <w:rFonts w:hint="eastAsia" w:ascii="仿宋_GB2312" w:hAnsi="仿宋_GB2312" w:eastAsia="仿宋_GB2312" w:cs="仿宋_GB2312"/>
          <w:b w:val="0"/>
          <w:bCs w:val="0"/>
          <w:color w:val="000000"/>
          <w:sz w:val="32"/>
          <w:szCs w:val="32"/>
        </w:rPr>
        <w:t>税务机关通过电子税务局对临近申报期限结束还未申报的纳税人提供提示提醒服务。</w:t>
      </w:r>
    </w:p>
    <w:p>
      <w:pPr>
        <w:wordWrap w:val="0"/>
        <w:spacing w:line="360" w:lineRule="auto"/>
        <w:ind w:firstLine="480"/>
        <w:rPr>
          <w:rFonts w:hint="eastAsia" w:ascii="仿宋_GB2312" w:hAnsi="仿宋_GB2312" w:eastAsia="仿宋_GB2312" w:cs="仿宋_GB2312"/>
          <w:b w:val="0"/>
          <w:bCs w:val="0"/>
          <w:color w:val="000000"/>
          <w:sz w:val="32"/>
          <w:szCs w:val="32"/>
        </w:rPr>
      </w:pPr>
    </w:p>
    <w:p>
      <w:pPr>
        <w:ind w:left="0" w:leftChars="0" w:firstLine="0" w:firstLineChars="0"/>
        <w:rPr>
          <w:rFonts w:hint="eastAsia" w:ascii="仿宋_GB2312" w:hAnsi="仿宋_GB2312" w:eastAsia="仿宋_GB2312" w:cs="仿宋_GB2312"/>
          <w:b w:val="0"/>
          <w:bCs w:val="0"/>
          <w:sz w:val="32"/>
          <w:szCs w:val="32"/>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CEAB47"/>
    <w:multiLevelType w:val="singleLevel"/>
    <w:tmpl w:val="F6CEAB47"/>
    <w:lvl w:ilvl="0" w:tentative="0">
      <w:start w:val="1"/>
      <w:numFmt w:val="chineseCounting"/>
      <w:suff w:val="nothing"/>
      <w:lvlText w:val="%1、"/>
      <w:lvlJc w:val="left"/>
      <w:pPr>
        <w:ind w:left="0" w:firstLine="397"/>
      </w:pPr>
      <w:rPr>
        <w:rFonts w:hint="eastAsia" w:eastAsia="仿宋_GB2312"/>
        <w:b/>
        <w:bCs/>
        <w:sz w:val="31"/>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jZiZWQzMWNlMmE0ZGU5NTQ5ZDNmZDZmMzU0MmUifQ=="/>
  </w:docVars>
  <w:rsids>
    <w:rsidRoot w:val="00000000"/>
    <w:rsid w:val="1AA86CA5"/>
    <w:rsid w:val="503D2704"/>
  </w:rsids>
  <m:mathPr>
    <m:mathFont m:val="Cambria Math"/>
    <m:brkBin m:val="before"/>
    <m:brkBinSub m:val="--"/>
    <m:smallFrac m:val="0"/>
    <m:dispDef/>
    <m:lMargin m:val="0"/>
    <m:rMargin m:val="0"/>
    <m:defJc m:val="centerGroup"/>
    <m:wrapIndent m:val="1440"/>
    <m:intLim m:val="subSup"/>
    <m:naryLim m:val="undOvr"/>
    <m:interSp m:val="0"/>
    <m:intraSp m:val="0"/>
    <m:postSp m:val="0"/>
    <m:preSp m:val="0"/>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宋体"/>
      <w:kern w:val="2"/>
      <w:sz w:val="24"/>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uiPriority w:val="0"/>
    <w:pPr>
      <w:jc w:val="left"/>
    </w:p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6">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7">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8">
    <w:name w:val="目录3"/>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9">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10">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FC53A28704154458BFC85E0DDB7ACDCB</vt:lpwstr>
  </property>
</Properties>
</file>

<file path=customXml/item3.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2022-08-24T05:29:00Z</dcterms:created>
  <dc:creator>123</dc:creator>
  <cp:lastModifiedBy>123</cp:lastModifiedBy>
  <dcterms:modified xsi:type="dcterms:W3CDTF">2022-08-24T05:29:47Z</dcterms:modified>
  <cp:revision>1</cp:revision>
</cp:core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2052-11.1.0.12302</vt:lpstr>
  </property>
  <property fmtid="{D5CDD505-2E9C-101B-9397-08002B2CF9AE}" pid="3" name="ICV">
    <vt:lpstr>FC53A28704154458BFC85E0DDB7ACDCB</vt:lpstr>
  </property>
</Properties>
</file>

<file path=customXml/item6.xml><?xml version="1.0" encoding="utf-8"?>
<Properties xmlns:vt="http://schemas.openxmlformats.org/officeDocument/2006/docPropsVTypes" xmlns="http://schemas.openxmlformats.org/officeDocument/2006/extended-properties">
  <Template>Normal.dotm</Template>
  <TotalTime>0</TotalTime>
  <Pages>1</Pages>
  <Words>0</Words>
  <Characters>0</Characters>
  <Application>WPS Office_11.1.0.12302_F1E327BC-269C-435d-A152-05C5408002CA</Application>
  <DocSecurity>0</DocSecurity>
  <Lines>0</Lines>
  <Paragraphs>0</Paragraphs>
  <CharactersWithSpaces>0</CharactersWithSpaces>
  <AppVersion>14.0000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2022-08-24T05:29:00Z</dcterms:created>
  <dcterms:modified xsi:type="dcterms:W3CDTF">2022-08-24T05:29:47Z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167715-79ee-4a7f-929b-d6f3c298174d}">
  <ds:schemaRefs/>
</ds:datastoreItem>
</file>

<file path=customXml/itemProps3.xml><?xml version="1.0" encoding="utf-8"?>
<ds:datastoreItem xmlns:ds="http://schemas.openxmlformats.org/officeDocument/2006/customXml" ds:itemID="{5cb428ac-1277-4f34-ae99-f450707f9aa1}">
  <ds:schemaRefs/>
</ds:datastoreItem>
</file>

<file path=customXml/itemProps4.xml><?xml version="1.0" encoding="utf-8"?>
<ds:datastoreItem xmlns:ds="http://schemas.openxmlformats.org/officeDocument/2006/customXml" ds:itemID="{7a575ba5-eb70-4a51-b294-329969f244a9}">
  <ds:schemaRefs/>
</ds:datastoreItem>
</file>

<file path=customXml/itemProps5.xml><?xml version="1.0" encoding="utf-8"?>
<ds:datastoreItem xmlns:ds="http://schemas.openxmlformats.org/officeDocument/2006/customXml" ds:itemID="{dc526919-c5d6-413e-a649-5ea3e1950bca}">
  <ds:schemaRefs/>
</ds:datastoreItem>
</file>

<file path=customXml/itemProps6.xml><?xml version="1.0" encoding="utf-8"?>
<ds:datastoreItem xmlns:ds="http://schemas.openxmlformats.org/officeDocument/2006/customXml" ds:itemID="{8dc1be1c-2329-4090-a0eb-4bfe48890ac0}">
  <ds:schemaRefs/>
</ds:datastoreItem>
</file>

<file path=customXml/itemProps7.xml><?xml version="1.0" encoding="utf-8"?>
<ds:datastoreItem xmlns:ds="http://schemas.openxmlformats.org/officeDocument/2006/customXml" ds:itemID="{78379074-038e-4cfc-bbb1-b1427bd06391}">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2022-08-24T05:29:00Z</dcterms:created>
  <dc:creator>123</dc:creator>
  <cp:lastModifiedBy>Administrator</cp:lastModifiedBy>
  <dcterms:modified xsi:type="dcterms:W3CDTF">2022-08-25T11:13:07Z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