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right" w:leader="dot" w:pos="8278"/>
        </w:tabs>
        <w:kinsoku/>
        <w:wordWrap w:val="0"/>
        <w:overflowPunct/>
        <w:topLinePunct w:val="0"/>
        <w:autoSpaceDE/>
        <w:autoSpaceDN/>
        <w:bidi w:val="0"/>
        <w:adjustRightInd/>
        <w:snapToGrid/>
        <w:spacing w:before="317" w:after="317" w:line="520" w:lineRule="atLeast"/>
        <w:ind w:left="0" w:leftChars="0" w:firstLine="0" w:firstLineChars="0"/>
        <w:jc w:val="center"/>
        <w:textAlignment w:val="auto"/>
        <w:rPr>
          <w:rFonts w:hint="eastAsia" w:ascii="方正小标宋_GBK" w:hAnsi="方正小标宋_GBK" w:eastAsia="方正小标宋_GBK" w:cs="方正小标宋_GBK"/>
          <w:b w:val="0"/>
          <w:bCs w:val="0"/>
          <w:color w:val="000000"/>
          <w:sz w:val="40"/>
          <w:szCs w:val="40"/>
        </w:rPr>
      </w:pPr>
      <w:bookmarkStart w:id="0" w:name="_Toc24152"/>
      <w:r>
        <w:rPr>
          <w:rFonts w:hint="eastAsia" w:ascii="方正小标宋_GBK" w:hAnsi="方正小标宋_GBK" w:eastAsia="方正小标宋_GBK" w:cs="方正小标宋_GBK"/>
          <w:b w:val="0"/>
          <w:bCs w:val="0"/>
          <w:color w:val="000000"/>
          <w:sz w:val="40"/>
          <w:szCs w:val="40"/>
        </w:rPr>
        <w:t>居民个人取得综合所得个人所得税</w:t>
      </w:r>
    </w:p>
    <w:p>
      <w:pPr>
        <w:pStyle w:val="6"/>
        <w:keepNext w:val="0"/>
        <w:keepLines w:val="0"/>
        <w:pageBreakBefore w:val="0"/>
        <w:widowControl w:val="0"/>
        <w:tabs>
          <w:tab w:val="right" w:leader="dot" w:pos="8278"/>
        </w:tabs>
        <w:kinsoku/>
        <w:wordWrap w:val="0"/>
        <w:overflowPunct/>
        <w:topLinePunct w:val="0"/>
        <w:autoSpaceDE/>
        <w:autoSpaceDN/>
        <w:bidi w:val="0"/>
        <w:adjustRightInd/>
        <w:snapToGrid/>
        <w:spacing w:before="317" w:after="317" w:line="520" w:lineRule="atLeast"/>
        <w:ind w:left="0" w:leftChars="0" w:firstLine="0" w:firstLineChars="0"/>
        <w:jc w:val="center"/>
        <w:textAlignment w:val="auto"/>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sz w:val="40"/>
          <w:szCs w:val="40"/>
        </w:rPr>
        <w:t>预扣预缴申报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居民个人取得综合所得个人所得税预扣预缴申报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以向个人支付所得的单位或者个人为扣缴义务人。居民个人取得综合所得，按年计算个人所得税；有扣缴义务人的，由扣缴义务人按月或者按次预扣预缴税款。扣缴义务人每月或者每次预扣、代扣的税款，应当在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w:t>
      </w:r>
      <w:r>
        <w:rPr>
          <w:rFonts w:hint="default" w:ascii="Times New Roman" w:hAnsi="Times New Roman" w:eastAsia="仿宋_GB2312" w:cs="Times New Roman"/>
          <w:b w:val="0"/>
          <w:bCs w:val="0"/>
          <w:color w:val="000000"/>
          <w:sz w:val="32"/>
          <w:szCs w:val="32"/>
        </w:rPr>
        <w:t>，填报</w:t>
      </w:r>
      <w:r>
        <w:rPr>
          <w:rFonts w:hint="default" w:ascii="Times New Roman" w:hAnsi="Times New Roman" w:eastAsia="仿宋_GB2312" w:cs="Times New Roman"/>
          <w:b w:val="0"/>
          <w:bCs w:val="0"/>
          <w:color w:val="000000"/>
          <w:sz w:val="32"/>
          <w:szCs w:val="32"/>
        </w:rPr>
        <w:t>《个人所得税扣缴申报表》</w:t>
      </w:r>
      <w:r>
        <w:rPr>
          <w:rFonts w:hint="default" w:ascii="Times New Roman" w:hAnsi="Times New Roman" w:eastAsia="仿宋_GB2312" w:cs="Times New Roman"/>
          <w:b w:val="0"/>
          <w:bCs w:val="0"/>
          <w:color w:val="000000"/>
          <w:sz w:val="32"/>
          <w:szCs w:val="32"/>
        </w:rPr>
        <w:t>及其他相关资料，向税务机关纳税申报并</w:t>
      </w:r>
      <w:r>
        <w:rPr>
          <w:rFonts w:hint="default" w:ascii="Times New Roman" w:hAnsi="Times New Roman" w:eastAsia="仿宋_GB2312" w:cs="Times New Roman"/>
          <w:b w:val="0"/>
          <w:bCs w:val="0"/>
          <w:color w:val="000000"/>
          <w:sz w:val="32"/>
          <w:szCs w:val="32"/>
        </w:rPr>
        <w:t>缴入国库。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《中华人民共和国税收征收管理法》第二十五条第二款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《中华人民共和国个人所得税法》第十条第二款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《中华人民共和国个人所得税法实施条例》第二十四条、第二十六条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《国家税务总局关于发布〈个人所得税扣缴申报管理办法（试行）〉的公告》（国家税务总局公告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61</w:t>
      </w:r>
      <w:r>
        <w:rPr>
          <w:rFonts w:hint="default" w:ascii="Times New Roman" w:hAnsi="Times New Roman" w:eastAsia="仿宋_GB2312" w:cs="Times New Roman"/>
          <w:b w:val="0"/>
          <w:bCs w:val="0"/>
          <w:color w:val="000000"/>
          <w:sz w:val="32"/>
          <w:szCs w:val="32"/>
        </w:rPr>
        <w:t>号）</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669"/>
        <w:gridCol w:w="78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53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3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537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《个人所得税扣缴申报表》</w:t>
            </w:r>
          </w:p>
        </w:tc>
        <w:tc>
          <w:tcPr>
            <w:tcW w:w="7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66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3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首次办理扣缴申报时或被扣缴义务人信息变更后</w:t>
            </w:r>
          </w:p>
        </w:tc>
        <w:tc>
          <w:tcPr>
            <w:tcW w:w="366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《个人所得税基础信息表（A表）》</w:t>
            </w:r>
          </w:p>
        </w:tc>
        <w:tc>
          <w:tcPr>
            <w:tcW w:w="7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有依法确定的其他扣除</w:t>
            </w:r>
          </w:p>
        </w:tc>
        <w:tc>
          <w:tcPr>
            <w:tcW w:w="366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《商业健康保险税前扣除情况明细表》《个人税收递延型商业养老保险税前扣除情况明细表》等相关扣除资料</w:t>
            </w:r>
          </w:p>
        </w:tc>
        <w:tc>
          <w:tcPr>
            <w:tcW w:w="7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选择在工资、薪金所得预扣预缴个人所得税时享受的</w:t>
            </w:r>
            <w:r>
              <w:rPr>
                <w:rFonts w:hint="default" w:ascii="Times New Roman" w:hAnsi="Times New Roman" w:eastAsia="仿宋_GB2312" w:cs="Times New Roman"/>
                <w:b w:val="0"/>
                <w:bCs w:val="0"/>
                <w:color w:val="000000"/>
                <w:sz w:val="32"/>
                <w:szCs w:val="32"/>
              </w:rPr>
              <w:t>六项专项附加扣除</w:t>
            </w:r>
          </w:p>
        </w:tc>
        <w:tc>
          <w:tcPr>
            <w:tcW w:w="366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《个人所得税专项附加扣除信息表》</w:t>
            </w:r>
          </w:p>
        </w:tc>
        <w:tc>
          <w:tcPr>
            <w:tcW w:w="7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企业存在股权激励和股票期权职工行权</w:t>
            </w:r>
          </w:p>
        </w:tc>
        <w:tc>
          <w:tcPr>
            <w:tcW w:w="366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公司股权激励人员名单</w:t>
            </w:r>
          </w:p>
        </w:tc>
        <w:tc>
          <w:tcPr>
            <w:tcW w:w="7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纳税人存在减免个人所得税情形</w:t>
            </w:r>
          </w:p>
        </w:tc>
        <w:tc>
          <w:tcPr>
            <w:tcW w:w="366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《个人所得税减免税事项报告表》</w:t>
            </w:r>
          </w:p>
        </w:tc>
        <w:tc>
          <w:tcPr>
            <w:tcW w:w="7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w:t>
      </w:r>
      <w:bookmarkStart w:id="1" w:name="_Hlk16362287"/>
      <w:r>
        <w:rPr>
          <w:rFonts w:hint="default" w:ascii="Times New Roman" w:hAnsi="Times New Roman" w:eastAsia="仿宋_GB2312" w:cs="Times New Roman"/>
          <w:b w:val="0"/>
          <w:bCs w:val="0"/>
          <w:color w:val="000000"/>
          <w:sz w:val="32"/>
          <w:szCs w:val="32"/>
        </w:rPr>
        <w:t>自然人税收管理系统</w:t>
      </w:r>
      <w:bookmarkEnd w:id="1"/>
      <w:r>
        <w:rPr>
          <w:rFonts w:hint="default" w:ascii="Times New Roman" w:hAnsi="Times New Roman" w:eastAsia="仿宋_GB2312" w:cs="Times New Roman"/>
          <w:b w:val="0"/>
          <w:bCs w:val="0"/>
          <w:color w:val="000000"/>
          <w:sz w:val="32"/>
          <w:szCs w:val="32"/>
        </w:rPr>
        <w:t>（扣缴客户端）办理，具体地点和网址可从省（自治区、直辖市和计划单列市）税务局网站“纳税服务”栏目查询。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59680" cy="1710690"/>
            <wp:effectExtent l="0" t="0" r="7620" b="0"/>
            <wp:docPr id="80" name="_x0000_i3154"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_x0000_i3154" descr="C:\Users\baoqianyu\Desktop\流程图\即办\扣缴义务人.png扣缴义务人"/>
                    <pic:cNvPicPr>
                      <a:picLocks noChangeAspect="1"/>
                    </pic:cNvPicPr>
                  </pic:nvPicPr>
                  <pic:blipFill>
                    <a:blip r:embed="rId4"/>
                    <a:stretch>
                      <a:fillRect/>
                    </a:stretch>
                  </pic:blipFill>
                  <pic:spPr>
                    <a:xfrm>
                      <a:off x="0" y="0"/>
                      <a:ext cx="5059680" cy="1710690"/>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w:t>
      </w:r>
      <w:r>
        <w:rPr>
          <w:rFonts w:hint="default" w:ascii="Times New Roman" w:hAnsi="Times New Roman" w:eastAsia="仿宋_GB2312" w:cs="Times New Roman"/>
          <w:b w:val="0"/>
          <w:bCs w:val="0"/>
          <w:color w:val="000000"/>
          <w:sz w:val="32"/>
          <w:szCs w:val="32"/>
        </w:rPr>
        <w:t>扣缴义务人对报送材料的真实性和合法性承担责任。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税务机关提供“最多跑一次”服务。扣缴义务人在资料完整且符合法定受理条件的前提下，最多只需要到税务机关跑一次。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扣缴义务人使用符合电子签名法规定条件的电子签名，与手写签名或者盖章具有同等法律效力。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扣缴义务人应依照税收法律、法规、规章及其他有关规定，向居民个人支付综合所得时，不论其是否属于本单位人员、支付的应税所得是否达到纳税标准，应当办理全员全额扣缴申报，在代扣税款的次月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日内，向主管税务机关报送其支付所得的所有个人的有关信息、支付所得数额、扣除事项和数额、扣缴税款的具体数额和总额以及其他相关涉税信息资料。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纳税期限遇最后一日是法定休假日的，以休假日期满的次日为期限的最后一日；在期限内有连续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扣缴义务人向居民个人支付工资、薪金所得时，应当按照累计预扣法计算预扣税款，并按月办理扣缴申报。扣缴义务人向居民个人支付劳务报酬所得、稿酬所得、特许权使用费所得时，应当按次或者按月预扣预缴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享受子女教育、继续教育、住房贷款利息或者住房租金、赡养老人专项附加扣除的纳税人，自符合条件开始，可以向支付工资、薪金所得的扣缴义务人提供上述专项附加扣除有关信息，由扣缴义务人在预扣预缴税款时，按其在本单位本年可享受的累计扣除额办理扣除；也可以在次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向汇缴地主管税务机关办理汇算清缴申报时扣除。居民个人向扣缴义务人提供有关信息并依法要求办理专项附加扣除的，扣缴义务人应当按照规定在工资、薪金所得按月预扣预缴税款时予以扣除，不得拒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纳税人同时从两处以上取得工资、薪金所得，并由扣缴义务人减除专项附加扣除的，对同一专项附加扣除项目，在一个纳税年度内只能选择从一处取得的所得中减除。</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支付工资、薪金所得的扣缴义务人应当于年度终了后</w:t>
      </w:r>
      <w:r>
        <w:rPr>
          <w:rFonts w:hint="default" w:ascii="Times New Roman" w:hAnsi="Times New Roman" w:eastAsia="仿宋_GB2312" w:cs="Times New Roman"/>
          <w:b w:val="0"/>
          <w:bCs w:val="0"/>
          <w:color w:val="000000"/>
          <w:sz w:val="32"/>
          <w:szCs w:val="32"/>
        </w:rPr>
        <w:t>两</w:t>
      </w:r>
      <w:r>
        <w:rPr>
          <w:rFonts w:hint="default" w:ascii="Times New Roman" w:hAnsi="Times New Roman" w:eastAsia="仿宋_GB2312" w:cs="Times New Roman"/>
          <w:b w:val="0"/>
          <w:bCs w:val="0"/>
          <w:color w:val="000000"/>
          <w:sz w:val="32"/>
          <w:szCs w:val="32"/>
        </w:rPr>
        <w:t>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纳税人可以通过远程办税端、电子或者纸质报表等方式，向扣缴义务人报送个人专项附加扣除信息。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扣缴义务人对纳税人提供的《个人所得税专项附加扣除信息表》，应当按照规定妥善保存备查，并依法对纳税人报送的专项附加扣除等相关涉税信息和资料保密。纳税人报送给扣缴义务人的《个人所得税专项附加扣除信息表》，扣缴义务人应当自预扣预缴年度的次年起留存</w:t>
      </w:r>
      <w:r>
        <w:rPr>
          <w:rFonts w:hint="default" w:ascii="Times New Roman" w:hAnsi="Times New Roman" w:eastAsia="仿宋_GB2312" w:cs="Times New Roman"/>
          <w:b w:val="0"/>
          <w:bCs w:val="0"/>
          <w:color w:val="000000"/>
          <w:sz w:val="32"/>
          <w:szCs w:val="32"/>
        </w:rPr>
        <w:t>五</w:t>
      </w:r>
      <w:r>
        <w:rPr>
          <w:rFonts w:hint="default" w:ascii="Times New Roman" w:hAnsi="Times New Roman" w:eastAsia="仿宋_GB2312" w:cs="Times New Roman"/>
          <w:b w:val="0"/>
          <w:bCs w:val="0"/>
          <w:color w:val="000000"/>
          <w:sz w:val="32"/>
          <w:szCs w:val="32"/>
        </w:rPr>
        <w:t>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扣缴义务人有未按照规定向税务机关报送资料和信息、未按照纳税人提供信息虚报虚扣专项附加扣除、应扣未扣税款、不缴或少缴已扣税款、借用或冒用他人身份等行为的，依照《中华人民共和国税收征收管理法》等相关法律、行政法规处理。</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报送材料录入数据。根据信息系统的提示信息，提醒</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更正纠错。</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；自然人税收管理系统办理的，将办理结果通过自然人税收管理系统反馈给</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w:t>
      </w:r>
      <w:r>
        <w:rPr>
          <w:rFonts w:hint="default" w:ascii="Times New Roman" w:hAnsi="Times New Roman" w:eastAsia="仿宋_GB2312" w:cs="Times New Roman"/>
          <w:b w:val="0"/>
          <w:bCs w:val="0"/>
          <w:color w:val="000000"/>
          <w:sz w:val="32"/>
          <w:szCs w:val="32"/>
        </w:rPr>
        <w:t>级规范】</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利用数字证书申报成功的扣缴义务人，取消纸质资料报送。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推进税（费）种要素申报，逐步扩大申报表免填数据项范围，实现部分申报表由系统自动生成，推送给扣缴义务人由其确认后报送。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FEA0"/>
    <w:multiLevelType w:val="singleLevel"/>
    <w:tmpl w:val="1BFAFEA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0E662C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BDE6D069B3744E89918342B17279F098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2022-08-24T05:51:00Z</dcterms:created>
  <dc:creator>123</dc:creator>
  <cp:lastModifiedBy>123</cp:lastModifiedBy>
  <dcterms:modified xsi:type="dcterms:W3CDTF">2022-08-24T05:52:02Z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BDE6D069B3744E89918342B17279F098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2022-08-24T05:51:00Z</dcterms:created>
  <dcterms:modified xsi:type="dcterms:W3CDTF">2022-08-24T05:52:02Z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c1216-bd17-41f6-a10f-2d8b470532f7}">
  <ds:schemaRefs/>
</ds:datastoreItem>
</file>

<file path=customXml/itemProps3.xml><?xml version="1.0" encoding="utf-8"?>
<ds:datastoreItem xmlns:ds="http://schemas.openxmlformats.org/officeDocument/2006/customXml" ds:itemID="{0436f620-b4af-4cc2-b774-800b3a9728e5}">
  <ds:schemaRefs/>
</ds:datastoreItem>
</file>

<file path=customXml/itemProps4.xml><?xml version="1.0" encoding="utf-8"?>
<ds:datastoreItem xmlns:ds="http://schemas.openxmlformats.org/officeDocument/2006/customXml" ds:itemID="{b3b37d81-7845-4025-9856-27237a340c74}">
  <ds:schemaRefs/>
</ds:datastoreItem>
</file>

<file path=customXml/itemProps5.xml><?xml version="1.0" encoding="utf-8"?>
<ds:datastoreItem xmlns:ds="http://schemas.openxmlformats.org/officeDocument/2006/customXml" ds:itemID="{b6f82281-ad0c-49cd-b10f-ea4bd59fa27e}">
  <ds:schemaRefs/>
</ds:datastoreItem>
</file>

<file path=customXml/itemProps6.xml><?xml version="1.0" encoding="utf-8"?>
<ds:datastoreItem xmlns:ds="http://schemas.openxmlformats.org/officeDocument/2006/customXml" ds:itemID="{da665427-451e-4090-9a7e-352277c98bc6}">
  <ds:schemaRefs/>
</ds:datastoreItem>
</file>

<file path=customXml/itemProps7.xml><?xml version="1.0" encoding="utf-8"?>
<ds:datastoreItem xmlns:ds="http://schemas.openxmlformats.org/officeDocument/2006/customXml" ds:itemID="{267bf3ae-217c-49ed-a79f-9717c3c4e89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2022-08-24T05:51:00Z</dcterms:created>
  <dc:creator>123</dc:creator>
  <cp:lastModifiedBy>Administrator</cp:lastModifiedBy>
  <dcterms:modified xsi:type="dcterms:W3CDTF">2022-08-25T12:38:59Z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