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1475"/>
      <w:r>
        <w:rPr>
          <w:rFonts w:hint="eastAsia" w:ascii="方正小标宋_GBK" w:hAnsi="方正小标宋_GBK" w:eastAsia="方正小标宋_GBK" w:cs="方正小标宋_GBK"/>
          <w:b w:val="0"/>
          <w:bCs w:val="0"/>
          <w:color w:val="000000"/>
          <w:sz w:val="40"/>
          <w:szCs w:val="40"/>
        </w:rPr>
        <w:t>对采取实际利润额预缴以外的其他企业所得税预缴方式的核定</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对采取实际利润额预缴以外的其他企业所得税预缴方式的核定</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企业所得税纳税人应</w:t>
      </w:r>
      <w:r>
        <w:rPr>
          <w:rFonts w:hint="default" w:ascii="Times New Roman" w:hAnsi="Times New Roman" w:eastAsia="仿宋_GB2312" w:cs="Times New Roman"/>
          <w:b w:val="0"/>
          <w:bCs w:val="0"/>
          <w:color w:val="000000"/>
          <w:sz w:val="32"/>
          <w:szCs w:val="32"/>
        </w:rPr>
        <w:t>按照月度或者季度的实际利润额预缴</w:t>
      </w:r>
      <w:r>
        <w:rPr>
          <w:rFonts w:hint="default" w:ascii="Times New Roman" w:hAnsi="Times New Roman" w:eastAsia="仿宋_GB2312" w:cs="Times New Roman"/>
          <w:b w:val="0"/>
          <w:bCs w:val="0"/>
          <w:color w:val="000000"/>
          <w:sz w:val="32"/>
          <w:szCs w:val="32"/>
        </w:rPr>
        <w:t>企业所得税。</w:t>
      </w:r>
      <w:r>
        <w:rPr>
          <w:rFonts w:hint="default" w:ascii="Times New Roman" w:hAnsi="Times New Roman" w:eastAsia="仿宋_GB2312" w:cs="Times New Roman"/>
          <w:b w:val="0"/>
          <w:bCs w:val="0"/>
          <w:color w:val="000000"/>
          <w:sz w:val="32"/>
          <w:szCs w:val="32"/>
        </w:rPr>
        <w:t>按照月度或者季度的实际利润额预缴有困难的，可以按照上一纳税年度应纳税所得额的月度或者季度平均额预缴，或者按照经税务机关认可的其他方法预缴。</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《中华人民共和国企业所得税法实施条例》第一百二十七条第二款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纳税人确有困难不能按照月度或者季度的实际利润额预缴企业所得税的情况证明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3" w:type="dxa"/>
            <w:gridSpan w:val="2"/>
            <w:tcBorders>
              <w:left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262" w:type="dxa"/>
            <w:tcBorders>
              <w:left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3"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委托代理人办理</w:t>
            </w:r>
          </w:p>
        </w:tc>
        <w:tc>
          <w:tcPr>
            <w:tcW w:w="3262"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代理委托书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3"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3262"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个工作日内办结；对</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个工作日内无法作出决定的，经决定机构负责人批准可以延长</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965960"/>
            <wp:effectExtent l="0" t="0" r="16510" b="15240"/>
            <wp:docPr id="62" name="_x0000_i3816" descr="C:\Users\baoqianyu\Desktop\流程图\行政许可\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_x0000_i3816" descr="C:\Users\baoqianyu\Desktop\流程图\行政许可\纳税人.png纳税人"/>
                    <pic:cNvPicPr>
                      <a:picLocks noChangeAspect="1"/>
                    </pic:cNvPicPr>
                  </pic:nvPicPr>
                  <pic:blipFill>
                    <a:blip r:embed="rId4"/>
                    <a:stretch>
                      <a:fillRect/>
                    </a:stretch>
                  </pic:blipFill>
                  <pic:spPr>
                    <a:xfrm>
                      <a:off x="0" y="0"/>
                      <a:ext cx="5184140" cy="1965960"/>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纳税人的预缴方法一经确定，该纳税年度内不得随意变更。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按月度预缴企业所得税的申请人应当于每年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日前提出申请；按季度预缴企业所得税的申请人应当于每年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日前提出申请。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）办税服务厅接收纳税人报送的资料，核对资料是否齐全、是否符合法定形式、填写内容是否完整，符合的即时受理，制作《税务行政许可受理通知书》送达纳税人，并制作《税务文书送达回证》由纳税人签收。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）申请材料存在问题可以当场更正的，应当一次性告知纳税人更正；申请材料不齐全或不符合法定形式的，应当当场或者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日内制作《补正税务行政许可材料告知书》，一次性告知纳税人需要补正的材料，并制作《税务文书送达回证》由纳税人签收。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）纳税人提出的行政许可申请事项依法不属于本行政机关职权范围的，办税服务厅不予受理，当场制作并送达《税务行政许可不予受理通知书》，并制作《税务文书送达回证》由纳税人签收。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1" w:name="_Hlk14519285"/>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）申请事项属于税务机关管辖范围，但不需要取得税务行政许可的，应当即时告知申请人不受理，同时告知其解决的途径。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）对省税务机关确定的能够当即办理的税务行政许可事项，直接出具和送达《准予税务行政许可决定书》，不再出具《税务行政许可受理通知书》。</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bookmarkStart w:id="2" w:name="_Hlk16369995"/>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）纳税人通过电子税务局申请的，电子税务局接收纳税人报送的资料信息，</w:t>
      </w:r>
      <w:r>
        <w:rPr>
          <w:rFonts w:hint="default" w:ascii="Times New Roman" w:hAnsi="Times New Roman" w:eastAsia="仿宋_GB2312" w:cs="Times New Roman"/>
          <w:b w:val="0"/>
          <w:bCs w:val="0"/>
          <w:color w:val="000000"/>
          <w:sz w:val="32"/>
          <w:szCs w:val="32"/>
        </w:rPr>
        <w:t>核对资料是否齐全、是否符合法定形式、填写内容是否完整，符合的即时受理</w:t>
      </w:r>
      <w:r>
        <w:rPr>
          <w:rFonts w:hint="default" w:ascii="Times New Roman" w:hAnsi="Times New Roman" w:eastAsia="仿宋_GB2312" w:cs="Times New Roman"/>
          <w:b w:val="0"/>
          <w:bCs w:val="0"/>
          <w:color w:val="000000"/>
          <w:sz w:val="32"/>
          <w:szCs w:val="32"/>
        </w:rPr>
        <w:t>；资料不齐全或者填写内容不符合规定的，一次性告知补正内容或要求纳税人重新填报。</w:t>
      </w:r>
      <w:bookmarkEnd w:id="1"/>
      <w:bookmarkEnd w:id="2"/>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3" w:name="_Hlk14617044"/>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）办税服务厅收到反馈后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凭《税务行政许可受理通知书》领取《准予税务行政许可决定书》或《不予税务行政许可决定书》，并制作《税务文书送达回证》由纳税人签收。审查结果为“不予税务行政许可”的，应当说明理由并告知纳税人在《不予税务行政许可决定书》上注明的期限内，享有依法申请行政复议或提起行政诉讼的权利。</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4" w:name="_Hlk16370011"/>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电子税务局办理的，将办理结果通过电子税务局反馈给纳税人。</w:t>
      </w:r>
      <w:bookmarkEnd w:id="4"/>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）办税服务厅与申请人不在同一县（市、区、旗），或者直接送达税务行政许可文书存在其他困难情形的，可以根据</w:t>
      </w:r>
      <w:r>
        <w:rPr>
          <w:rFonts w:hint="default" w:ascii="Times New Roman" w:hAnsi="Times New Roman" w:eastAsia="仿宋_GB2312" w:cs="Times New Roman"/>
          <w:b w:val="0"/>
          <w:bCs w:val="0"/>
          <w:color w:val="000000"/>
          <w:sz w:val="32"/>
          <w:szCs w:val="32"/>
        </w:rPr>
        <w:t>纳税</w:t>
      </w:r>
      <w:r>
        <w:rPr>
          <w:rFonts w:hint="default" w:ascii="Times New Roman" w:hAnsi="Times New Roman" w:eastAsia="仿宋_GB2312" w:cs="Times New Roman"/>
          <w:b w:val="0"/>
          <w:bCs w:val="0"/>
          <w:color w:val="000000"/>
          <w:sz w:val="32"/>
          <w:szCs w:val="32"/>
        </w:rPr>
        <w:t>人书面要求，按照</w:t>
      </w:r>
      <w:r>
        <w:rPr>
          <w:rFonts w:hint="default" w:ascii="Times New Roman" w:hAnsi="Times New Roman" w:eastAsia="仿宋_GB2312" w:cs="Times New Roman"/>
          <w:b w:val="0"/>
          <w:bCs w:val="0"/>
          <w:color w:val="000000"/>
          <w:sz w:val="32"/>
          <w:szCs w:val="32"/>
        </w:rPr>
        <w:t>纳税</w:t>
      </w:r>
      <w:r>
        <w:rPr>
          <w:rFonts w:hint="default" w:ascii="Times New Roman" w:hAnsi="Times New Roman" w:eastAsia="仿宋_GB2312" w:cs="Times New Roman"/>
          <w:b w:val="0"/>
          <w:bCs w:val="0"/>
          <w:color w:val="000000"/>
          <w:sz w:val="32"/>
          <w:szCs w:val="32"/>
        </w:rPr>
        <w:t>人在《税务行政许可申请表》上填写的地址，在文书出具之日起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个工作日内向</w:t>
      </w:r>
      <w:r>
        <w:rPr>
          <w:rFonts w:hint="default" w:ascii="Times New Roman" w:hAnsi="Times New Roman" w:eastAsia="仿宋_GB2312" w:cs="Times New Roman"/>
          <w:b w:val="0"/>
          <w:bCs w:val="0"/>
          <w:color w:val="000000"/>
          <w:sz w:val="32"/>
          <w:szCs w:val="32"/>
        </w:rPr>
        <w:t>纳税</w:t>
      </w:r>
      <w:r>
        <w:rPr>
          <w:rFonts w:hint="default" w:ascii="Times New Roman" w:hAnsi="Times New Roman" w:eastAsia="仿宋_GB2312" w:cs="Times New Roman"/>
          <w:b w:val="0"/>
          <w:bCs w:val="0"/>
          <w:color w:val="000000"/>
          <w:sz w:val="32"/>
          <w:szCs w:val="32"/>
        </w:rPr>
        <w:t>人邮寄送达。邮寄送达的，以挂号函件回执上注明的收件日期为送达日期，并视为已送达。税务机关应当保留邮寄单据并做好台账登记。邮寄送达不得收取任何费用。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）在作出准予税务行政许可决定之日起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日内，在办税服务厅或者其他办公场所以及税务机关门户网站上公开税务行政许可决定。</w:t>
      </w:r>
      <w:bookmarkEnd w:id="3"/>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w:t>
      </w:r>
      <w:r>
        <w:rPr>
          <w:rFonts w:hint="default" w:ascii="Times New Roman" w:hAnsi="Times New Roman" w:eastAsia="仿宋_GB2312" w:cs="Times New Roman"/>
          <w:b w:val="0"/>
          <w:bCs w:val="0"/>
          <w:color w:val="000000"/>
          <w:sz w:val="32"/>
          <w:szCs w:val="32"/>
        </w:rPr>
        <w:t>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5" w:name="_GoBack"/>
      <w:bookmarkEnd w:id="5"/>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办理时限由</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个工作日提速至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个工作日。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根据纳税信用评价结果逐步取消资料报送。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00CED7"/>
    <w:multiLevelType w:val="singleLevel"/>
    <w:tmpl w:val="9B00CED7"/>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4B50535"/>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3E21BDB77F124A9287A004A115A7FF35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2022-08-24T05:32:00Z</dcterms:created>
  <dc:creator>123</dc:creator>
  <cp:lastModifiedBy>123</cp:lastModifiedBy>
  <dcterms:modified xsi:type="dcterms:W3CDTF">2022-08-24T05:32:47Z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3E21BDB77F124A9287A004A115A7FF35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2022-08-24T05:32:00Z</dcterms:created>
  <dcterms:modified xsi:type="dcterms:W3CDTF">2022-08-24T05:32:47Z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0a087-4862-46fe-8c3d-575eaf9fa7de}">
  <ds:schemaRefs/>
</ds:datastoreItem>
</file>

<file path=customXml/itemProps3.xml><?xml version="1.0" encoding="utf-8"?>
<ds:datastoreItem xmlns:ds="http://schemas.openxmlformats.org/officeDocument/2006/customXml" ds:itemID="{5a2d07a3-f194-4786-a72c-a99b6f26ab10}">
  <ds:schemaRefs/>
</ds:datastoreItem>
</file>

<file path=customXml/itemProps4.xml><?xml version="1.0" encoding="utf-8"?>
<ds:datastoreItem xmlns:ds="http://schemas.openxmlformats.org/officeDocument/2006/customXml" ds:itemID="{afebf07f-c6d5-44e2-9cf6-e1e61a2ef168}">
  <ds:schemaRefs/>
</ds:datastoreItem>
</file>

<file path=customXml/itemProps5.xml><?xml version="1.0" encoding="utf-8"?>
<ds:datastoreItem xmlns:ds="http://schemas.openxmlformats.org/officeDocument/2006/customXml" ds:itemID="{1d9b007d-b85c-4a4d-92f0-30a0ae49949e}">
  <ds:schemaRefs/>
</ds:datastoreItem>
</file>

<file path=customXml/itemProps6.xml><?xml version="1.0" encoding="utf-8"?>
<ds:datastoreItem xmlns:ds="http://schemas.openxmlformats.org/officeDocument/2006/customXml" ds:itemID="{32624fd5-b5a2-49d0-9495-ca1f10d5a27e}">
  <ds:schemaRefs/>
</ds:datastoreItem>
</file>

<file path=customXml/itemProps7.xml><?xml version="1.0" encoding="utf-8"?>
<ds:datastoreItem xmlns:ds="http://schemas.openxmlformats.org/officeDocument/2006/customXml" ds:itemID="{cfec29e9-d0ac-482a-ad4c-f37e43def6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2022-08-24T05:32:00Z</dcterms:created>
  <dc:creator>123</dc:creator>
  <cp:lastModifiedBy>Administrator</cp:lastModifiedBy>
  <dcterms:modified xsi:type="dcterms:W3CDTF">2022-08-25T08:50:57Z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