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val="0"/>
        <w:overflowPunct/>
        <w:topLinePunct w:val="0"/>
        <w:autoSpaceDE/>
        <w:autoSpaceDN/>
        <w:bidi w:val="0"/>
        <w:adjustRightInd/>
        <w:snapToGrid/>
        <w:spacing w:beforeLines="0" w:afterLines="0" w:line="360" w:lineRule="auto"/>
        <w:ind w:left="0" w:leftChars="0" w:firstLine="0" w:firstLineChars="0"/>
        <w:jc w:val="center"/>
        <w:textAlignment w:val="auto"/>
        <w:rPr>
          <w:rFonts w:hint="eastAsia" w:ascii="方正小标宋_GBK" w:hAnsi="方正小标宋_GBK" w:eastAsia="方正小标宋_GBK" w:cs="方正小标宋_GBK"/>
          <w:b w:val="0"/>
          <w:bCs w:val="0"/>
          <w:color w:val="000000"/>
          <w:sz w:val="40"/>
          <w:szCs w:val="40"/>
        </w:rPr>
      </w:pPr>
      <w:bookmarkStart w:id="0" w:name="_Toc2309"/>
      <w:bookmarkStart w:id="1" w:name="_Toc6673"/>
      <w:bookmarkStart w:id="2" w:name="_Hlk12453672"/>
      <w:r>
        <w:rPr>
          <w:rFonts w:hint="eastAsia" w:ascii="方正小标宋_GBK" w:hAnsi="方正小标宋_GBK" w:eastAsia="方正小标宋_GBK" w:cs="方正小标宋_GBK"/>
          <w:b w:val="0"/>
          <w:bCs w:val="0"/>
          <w:color w:val="000000"/>
          <w:sz w:val="40"/>
          <w:szCs w:val="40"/>
        </w:rPr>
        <w:t>增值税预缴申报</w:t>
      </w:r>
      <w:bookmarkEnd w:id="0"/>
      <w:bookmarkEnd w:id="1"/>
    </w:p>
    <w:p>
      <w:pPr>
        <w:pStyle w:val="7"/>
        <w:keepNext w:val="0"/>
        <w:keepLines w:val="0"/>
        <w:pageBreakBefore w:val="0"/>
        <w:widowControl w:val="0"/>
        <w:kinsoku/>
        <w:wordWrap w:val="0"/>
        <w:overflowPunct/>
        <w:topLinePunct w:val="0"/>
        <w:autoSpaceDE/>
        <w:autoSpaceDN/>
        <w:bidi w:val="0"/>
        <w:adjustRightInd/>
        <w:snapToGrid/>
        <w:spacing w:beforeLines="0" w:afterLines="0" w:line="360" w:lineRule="auto"/>
        <w:ind w:left="0" w:leftChars="0" w:firstLine="0" w:firstLineChars="0"/>
        <w:jc w:val="center"/>
        <w:textAlignment w:val="auto"/>
        <w:rPr>
          <w:rFonts w:hint="eastAsia" w:ascii="方正小标宋_GBK" w:hAnsi="方正小标宋_GBK" w:eastAsia="方正小标宋_GBK" w:cs="方正小标宋_GBK"/>
          <w:b w:val="0"/>
          <w:bCs w:val="0"/>
          <w:color w:val="000000"/>
          <w:sz w:val="40"/>
          <w:szCs w:val="40"/>
        </w:rPr>
      </w:pPr>
      <w:bookmarkStart w:id="4" w:name="_GoBack"/>
      <w:bookmarkEnd w:id="4"/>
    </w:p>
    <w:p>
      <w:pPr>
        <w:pStyle w:val="8"/>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增值税预缴申报</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pStyle w:val="8"/>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kern w:val="2"/>
          <w:sz w:val="32"/>
          <w:szCs w:val="32"/>
        </w:rPr>
        <w:t>不含其他个人）跨地（市、州）提供建筑服务、房地产开发企业预售自行开发的房地产项目、纳税人（不含其他个人）出租与机构所在地不在同一县（市）的不动产</w:t>
      </w:r>
      <w:r>
        <w:rPr>
          <w:rFonts w:hint="default" w:ascii="Times New Roman" w:hAnsi="Times New Roman" w:eastAsia="仿宋_GB2312" w:cs="Times New Roman"/>
          <w:b w:val="0"/>
          <w:bCs w:val="0"/>
          <w:color w:val="000000"/>
          <w:kern w:val="2"/>
          <w:sz w:val="32"/>
          <w:szCs w:val="32"/>
        </w:rPr>
        <w:t>等</w:t>
      </w:r>
      <w:r>
        <w:rPr>
          <w:rFonts w:hint="default" w:ascii="Times New Roman" w:hAnsi="Times New Roman" w:eastAsia="仿宋_GB2312" w:cs="Times New Roman"/>
          <w:b w:val="0"/>
          <w:bCs w:val="0"/>
          <w:color w:val="000000"/>
          <w:kern w:val="2"/>
          <w:sz w:val="32"/>
          <w:szCs w:val="32"/>
        </w:rPr>
        <w:t>按规定需要在项目所在地或不动产所在地主管税务机关预缴税款的，需填</w:t>
      </w:r>
      <w:r>
        <w:rPr>
          <w:rFonts w:hint="default" w:ascii="Times New Roman" w:hAnsi="Times New Roman" w:eastAsia="仿宋_GB2312" w:cs="Times New Roman"/>
          <w:b w:val="0"/>
          <w:bCs w:val="0"/>
          <w:color w:val="000000"/>
          <w:kern w:val="2"/>
          <w:sz w:val="32"/>
          <w:szCs w:val="32"/>
        </w:rPr>
        <w:t>报</w:t>
      </w:r>
      <w:r>
        <w:rPr>
          <w:rFonts w:hint="default" w:ascii="Times New Roman" w:hAnsi="Times New Roman" w:eastAsia="仿宋_GB2312" w:cs="Times New Roman"/>
          <w:b w:val="0"/>
          <w:bCs w:val="0"/>
          <w:color w:val="000000"/>
          <w:kern w:val="2"/>
          <w:sz w:val="32"/>
          <w:szCs w:val="32"/>
        </w:rPr>
        <w:t>《增值税预缴税款表》</w:t>
      </w:r>
      <w:r>
        <w:rPr>
          <w:rFonts w:hint="default" w:ascii="Times New Roman" w:hAnsi="Times New Roman" w:eastAsia="仿宋_GB2312" w:cs="Times New Roman"/>
          <w:b w:val="0"/>
          <w:bCs w:val="0"/>
          <w:color w:val="000000"/>
          <w:kern w:val="2"/>
          <w:sz w:val="32"/>
          <w:szCs w:val="32"/>
        </w:rPr>
        <w:t>及其他相关资料，向税务机关进行纳税申报</w:t>
      </w:r>
      <w:r>
        <w:rPr>
          <w:rFonts w:hint="default" w:ascii="Times New Roman" w:hAnsi="Times New Roman" w:eastAsia="仿宋_GB2312" w:cs="Times New Roman"/>
          <w:b w:val="0"/>
          <w:bCs w:val="0"/>
          <w:color w:val="000000"/>
          <w:kern w:val="2"/>
          <w:sz w:val="32"/>
          <w:szCs w:val="32"/>
        </w:rPr>
        <w:t>。</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《中华人民共和国税收征收管理法》第二十五条第一款</w:t>
      </w:r>
      <w:bookmarkEnd w:id="2"/>
    </w:p>
    <w:p>
      <w:pPr>
        <w:pStyle w:val="8"/>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73"/>
        <w:gridCol w:w="3262"/>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9"/>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《增值税预缴税款表》</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pStyle w:val="9"/>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3" w:type="dxa"/>
            <w:gridSpan w:val="2"/>
            <w:tcBorders>
              <w:left w:val="single" w:color="auto" w:sz="4" w:space="0"/>
              <w:right w:val="single" w:color="auto" w:sz="4" w:space="0"/>
            </w:tcBorders>
            <w:shd w:val="clear" w:color="auto" w:fill="D8D8D8"/>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3262" w:type="dxa"/>
            <w:tcBorders>
              <w:left w:val="single" w:color="auto" w:sz="4" w:space="0"/>
              <w:right w:val="single" w:color="auto" w:sz="4" w:space="0"/>
            </w:tcBorders>
            <w:shd w:val="clear" w:color="auto" w:fill="D8D8D8"/>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right w:val="single" w:color="auto" w:sz="4" w:space="0"/>
            </w:tcBorders>
            <w:shd w:val="clear" w:color="auto" w:fill="D8D8D8"/>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right w:val="single" w:color="auto" w:sz="4" w:space="0"/>
            </w:tcBorders>
            <w:shd w:val="clear" w:color="auto" w:fill="D8D8D8"/>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953" w:type="dxa"/>
            <w:gridSpan w:val="2"/>
            <w:vMerge w:val="restart"/>
            <w:tcBorders>
              <w:left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跨县（市、区）提供建筑服务的纳税人</w:t>
            </w:r>
          </w:p>
        </w:tc>
        <w:tc>
          <w:tcPr>
            <w:tcW w:w="3262" w:type="dxa"/>
            <w:tcBorders>
              <w:left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）与发包方签订的建筑合同复印件（加盖纳税人公章）</w:t>
            </w:r>
          </w:p>
        </w:tc>
        <w:tc>
          <w:tcPr>
            <w:tcW w:w="680" w:type="dxa"/>
            <w:vMerge w:val="restart"/>
            <w:tcBorders>
              <w:top w:val="single" w:color="auto" w:sz="4" w:space="0"/>
              <w:left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Merge w:val="restart"/>
            <w:tcBorders>
              <w:top w:val="single" w:color="auto" w:sz="4" w:space="0"/>
              <w:left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953" w:type="dxa"/>
            <w:gridSpan w:val="2"/>
            <w:vMerge w:val="continue"/>
            <w:tcBorders>
              <w:left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p>
        </w:tc>
        <w:tc>
          <w:tcPr>
            <w:tcW w:w="3262" w:type="dxa"/>
            <w:tcBorders>
              <w:left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）与分包方签订的分包合同复印件（加盖纳税人公章）</w:t>
            </w:r>
          </w:p>
        </w:tc>
        <w:tc>
          <w:tcPr>
            <w:tcW w:w="680" w:type="dxa"/>
            <w:vMerge w:val="continue"/>
            <w:tcBorders>
              <w:left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p>
        </w:tc>
        <w:tc>
          <w:tcPr>
            <w:tcW w:w="2268" w:type="dxa"/>
            <w:vMerge w:val="continue"/>
            <w:tcBorders>
              <w:left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953" w:type="dxa"/>
            <w:gridSpan w:val="2"/>
            <w:vMerge w:val="continue"/>
            <w:tcBorders>
              <w:left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p>
        </w:tc>
        <w:tc>
          <w:tcPr>
            <w:tcW w:w="3262" w:type="dxa"/>
            <w:tcBorders>
              <w:left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）从分包方取得的发票复印件（加盖纳税人公章）</w:t>
            </w:r>
          </w:p>
        </w:tc>
        <w:tc>
          <w:tcPr>
            <w:tcW w:w="680" w:type="dxa"/>
            <w:vMerge w:val="continue"/>
            <w:tcBorders>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p>
        </w:tc>
        <w:tc>
          <w:tcPr>
            <w:tcW w:w="2268" w:type="dxa"/>
            <w:vMerge w:val="continue"/>
            <w:tcBorders>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32"/>
                <w:szCs w:val="32"/>
              </w:rPr>
            </w:pPr>
          </w:p>
        </w:tc>
      </w:tr>
    </w:tbl>
    <w:p>
      <w:pPr>
        <w:pStyle w:val="8"/>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szCs w:val="32"/>
        </w:rPr>
      </w:pPr>
      <w:bookmarkStart w:id="3" w:name="_Hlk12454360"/>
      <w:r>
        <w:rPr>
          <w:rFonts w:hint="default" w:ascii="Times New Roman" w:hAnsi="Times New Roman" w:eastAsia="仿宋_GB2312" w:cs="Times New Roman"/>
          <w:b w:val="0"/>
          <w:bCs w:val="0"/>
          <w:color w:val="000000"/>
          <w:sz w:val="32"/>
          <w:szCs w:val="32"/>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税务局网站“纳税服务”栏目查询。</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8"/>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275" name="_x0000_i4247"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_x0000_i4247"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税务局网站“下载中心”栏目查询下载或到办税服务厅领取。</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纳税人使用《增值税预缴税款表》在异地办理预缴税款时，应填报注册地纳税人识别号。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bookmarkEnd w:id="3"/>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纳税人（不含其他个人）跨县（市）提供建筑服务：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）向建筑服务发生地主管</w:t>
      </w:r>
      <w:r>
        <w:rPr>
          <w:rFonts w:hint="default" w:ascii="Times New Roman" w:hAnsi="Times New Roman" w:eastAsia="仿宋_GB2312" w:cs="Times New Roman"/>
          <w:b w:val="0"/>
          <w:bCs w:val="0"/>
          <w:color w:val="000000"/>
          <w:sz w:val="32"/>
          <w:szCs w:val="32"/>
        </w:rPr>
        <w:t>税务</w:t>
      </w:r>
      <w:r>
        <w:rPr>
          <w:rFonts w:hint="default" w:ascii="Times New Roman" w:hAnsi="Times New Roman" w:eastAsia="仿宋_GB2312" w:cs="Times New Roman"/>
          <w:b w:val="0"/>
          <w:bCs w:val="0"/>
          <w:color w:val="000000"/>
          <w:sz w:val="32"/>
          <w:szCs w:val="32"/>
        </w:rPr>
        <w:t>机关预缴的增值税税款，可以在当期增值税应纳税额中抵减，抵减不完的，结转下期继续抵减。纳税人以预缴税款抵减应纳税额，应以完税凭证作为合法有效凭证。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）不能自行开具增值税发票的小规模纳税人，可向建筑服务发生地主管</w:t>
      </w:r>
      <w:r>
        <w:rPr>
          <w:rFonts w:hint="default" w:ascii="Times New Roman" w:hAnsi="Times New Roman" w:eastAsia="仿宋_GB2312" w:cs="Times New Roman"/>
          <w:b w:val="0"/>
          <w:bCs w:val="0"/>
          <w:color w:val="000000"/>
          <w:sz w:val="32"/>
          <w:szCs w:val="32"/>
        </w:rPr>
        <w:t>税务</w:t>
      </w:r>
      <w:r>
        <w:rPr>
          <w:rFonts w:hint="default" w:ascii="Times New Roman" w:hAnsi="Times New Roman" w:eastAsia="仿宋_GB2312" w:cs="Times New Roman"/>
          <w:b w:val="0"/>
          <w:bCs w:val="0"/>
          <w:color w:val="000000"/>
          <w:sz w:val="32"/>
          <w:szCs w:val="32"/>
        </w:rPr>
        <w:t>机关按照其取得的全部价款和价外费用申请代开增值税发票。</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纳税人（不含其他个人）出租与机构所在地不在同一县（市）的不动产：</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）应在取得租金的次月纳税申报期或不动产所在地主管</w:t>
      </w:r>
      <w:r>
        <w:rPr>
          <w:rFonts w:hint="default" w:ascii="Times New Roman" w:hAnsi="Times New Roman" w:eastAsia="仿宋_GB2312" w:cs="Times New Roman"/>
          <w:b w:val="0"/>
          <w:bCs w:val="0"/>
          <w:color w:val="000000"/>
          <w:sz w:val="32"/>
          <w:szCs w:val="32"/>
        </w:rPr>
        <w:t>税务</w:t>
      </w:r>
      <w:r>
        <w:rPr>
          <w:rFonts w:hint="default" w:ascii="Times New Roman" w:hAnsi="Times New Roman" w:eastAsia="仿宋_GB2312" w:cs="Times New Roman"/>
          <w:b w:val="0"/>
          <w:bCs w:val="0"/>
          <w:color w:val="000000"/>
          <w:sz w:val="32"/>
          <w:szCs w:val="32"/>
        </w:rPr>
        <w:t>机关核定的纳税期限预缴税款。</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）纳税人提供租赁服务采取预收款方式的，其纳税义务发生时间为收到预收款的当天。</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）向不动产所在地主管</w:t>
      </w:r>
      <w:r>
        <w:rPr>
          <w:rFonts w:hint="default" w:ascii="Times New Roman" w:hAnsi="Times New Roman" w:eastAsia="仿宋_GB2312" w:cs="Times New Roman"/>
          <w:b w:val="0"/>
          <w:bCs w:val="0"/>
          <w:color w:val="000000"/>
          <w:sz w:val="32"/>
          <w:szCs w:val="32"/>
        </w:rPr>
        <w:t>税务</w:t>
      </w:r>
      <w:r>
        <w:rPr>
          <w:rFonts w:hint="default" w:ascii="Times New Roman" w:hAnsi="Times New Roman" w:eastAsia="仿宋_GB2312" w:cs="Times New Roman"/>
          <w:b w:val="0"/>
          <w:bCs w:val="0"/>
          <w:color w:val="000000"/>
          <w:sz w:val="32"/>
          <w:szCs w:val="32"/>
        </w:rPr>
        <w:t>机关预缴的增值税款，可以在当期增值税应纳税额中抵减，抵减不完的，结转下期继续抵减。纳税人以预缴税款抵减应纳税额，应以完税凭证作为合法有效凭证。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）不能自行开具增值税发票的小规模纳税人，可向不动产所在地主管税</w:t>
      </w:r>
      <w:r>
        <w:rPr>
          <w:rFonts w:hint="default" w:ascii="Times New Roman" w:hAnsi="Times New Roman" w:eastAsia="仿宋_GB2312" w:cs="Times New Roman"/>
          <w:b w:val="0"/>
          <w:bCs w:val="0"/>
          <w:color w:val="000000"/>
          <w:sz w:val="32"/>
          <w:szCs w:val="32"/>
        </w:rPr>
        <w:t>务</w:t>
      </w:r>
      <w:r>
        <w:rPr>
          <w:rFonts w:hint="default" w:ascii="Times New Roman" w:hAnsi="Times New Roman" w:eastAsia="仿宋_GB2312" w:cs="Times New Roman"/>
          <w:b w:val="0"/>
          <w:bCs w:val="0"/>
          <w:color w:val="000000"/>
          <w:sz w:val="32"/>
          <w:szCs w:val="32"/>
        </w:rPr>
        <w:t>机关申请代开增值税发票。</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房地产开发企业预售自行开发的房地产项目：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）纳税人应在取得预收款的次月纳税申报期向主管税</w:t>
      </w:r>
      <w:r>
        <w:rPr>
          <w:rFonts w:hint="default" w:ascii="Times New Roman" w:hAnsi="Times New Roman" w:eastAsia="仿宋_GB2312" w:cs="Times New Roman"/>
          <w:b w:val="0"/>
          <w:bCs w:val="0"/>
          <w:color w:val="000000"/>
          <w:sz w:val="32"/>
          <w:szCs w:val="32"/>
        </w:rPr>
        <w:t>务</w:t>
      </w:r>
      <w:r>
        <w:rPr>
          <w:rFonts w:hint="default" w:ascii="Times New Roman" w:hAnsi="Times New Roman" w:eastAsia="仿宋_GB2312" w:cs="Times New Roman"/>
          <w:b w:val="0"/>
          <w:bCs w:val="0"/>
          <w:color w:val="000000"/>
          <w:sz w:val="32"/>
          <w:szCs w:val="32"/>
        </w:rPr>
        <w:t>机关预缴税款。</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）向税</w:t>
      </w:r>
      <w:r>
        <w:rPr>
          <w:rFonts w:hint="default" w:ascii="Times New Roman" w:hAnsi="Times New Roman" w:eastAsia="仿宋_GB2312" w:cs="Times New Roman"/>
          <w:b w:val="0"/>
          <w:bCs w:val="0"/>
          <w:color w:val="000000"/>
          <w:sz w:val="32"/>
          <w:szCs w:val="32"/>
        </w:rPr>
        <w:t>务</w:t>
      </w:r>
      <w:r>
        <w:rPr>
          <w:rFonts w:hint="default" w:ascii="Times New Roman" w:hAnsi="Times New Roman" w:eastAsia="仿宋_GB2312" w:cs="Times New Roman"/>
          <w:b w:val="0"/>
          <w:bCs w:val="0"/>
          <w:color w:val="000000"/>
          <w:sz w:val="32"/>
          <w:szCs w:val="32"/>
        </w:rPr>
        <w:t>机关预缴的增值税税款，可以在当期增值税应纳税额中抵减，抵减不完的，结转下期继续抵减。纳税人以预缴税款抵减应纳税额，应以完税凭证作为合法有效凭证。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）不能自行开具增值税发票的小规模纳税人，可向项目所在地主管税</w:t>
      </w:r>
      <w:r>
        <w:rPr>
          <w:rFonts w:hint="default" w:ascii="Times New Roman" w:hAnsi="Times New Roman" w:eastAsia="仿宋_GB2312" w:cs="Times New Roman"/>
          <w:b w:val="0"/>
          <w:bCs w:val="0"/>
          <w:color w:val="000000"/>
          <w:sz w:val="32"/>
          <w:szCs w:val="32"/>
        </w:rPr>
        <w:t>务</w:t>
      </w:r>
      <w:r>
        <w:rPr>
          <w:rFonts w:hint="default" w:ascii="Times New Roman" w:hAnsi="Times New Roman" w:eastAsia="仿宋_GB2312" w:cs="Times New Roman"/>
          <w:b w:val="0"/>
          <w:bCs w:val="0"/>
          <w:color w:val="000000"/>
          <w:sz w:val="32"/>
          <w:szCs w:val="32"/>
        </w:rPr>
        <w:t>机关申请代开增值税发票。</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纳税人提供建筑服务取得预收款</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）在收到预收款时，以取得的预收款扣除支付的分包款后的余额，按照规定的预征率预缴增值税</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适用一般计税方法计税的项目预征率为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%，适用简易计税方法计税的项目预征率为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按照现行规定应在建筑服务发生地预缴增值税的项目，纳税人收到预收款时在建筑服务发生地预缴增值税。按照现行规定无需在建筑服务发生地预缴增值税的项目，纳税人收到预收款时在机构所在地预缴增值税。</w:t>
      </w:r>
    </w:p>
    <w:p>
      <w:pPr>
        <w:pStyle w:val="3"/>
        <w:keepNext w:val="0"/>
        <w:keepLines w:val="0"/>
        <w:pageBreakBefore w:val="0"/>
        <w:widowControl w:val="0"/>
        <w:kinsoku/>
        <w:overflowPunct/>
        <w:topLinePunct w:val="0"/>
        <w:autoSpaceDE/>
        <w:autoSpaceDN/>
        <w:bidi w:val="0"/>
        <w:adjustRightInd/>
        <w:snapToGrid/>
        <w:spacing w:beforeLines="0" w:afterLines="0" w:line="360" w:lineRule="auto"/>
        <w:ind w:left="-226" w:right="-226" w:firstLine="960" w:firstLineChars="300"/>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2"/>
          <w:sz w:val="32"/>
          <w:szCs w:val="32"/>
        </w:rPr>
        <w:t>纳税人（不含其他个人）转让其取得的不动产：</w:t>
      </w:r>
    </w:p>
    <w:p>
      <w:pPr>
        <w:pStyle w:val="3"/>
        <w:keepNext w:val="0"/>
        <w:keepLines w:val="0"/>
        <w:pageBreakBefore w:val="0"/>
        <w:widowControl w:val="0"/>
        <w:kinsoku/>
        <w:overflowPunct/>
        <w:topLinePunct w:val="0"/>
        <w:autoSpaceDE/>
        <w:autoSpaceDN/>
        <w:bidi w:val="0"/>
        <w:adjustRightInd/>
        <w:snapToGrid/>
        <w:spacing w:beforeLines="0" w:afterLines="0" w:line="360" w:lineRule="auto"/>
        <w:ind w:right="-226"/>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kern w:val="2"/>
          <w:sz w:val="32"/>
          <w:szCs w:val="32"/>
        </w:rPr>
        <w:t>向不动产所在地主管税务机关预缴的增值税款，可以在当期增值税应纳税额中抵减，抵减不完的转下期继续抵减。纳税人以预缴税款抵减应纳税额应以完税凭证作为合法有效凭证。</w:t>
      </w:r>
    </w:p>
    <w:p>
      <w:pPr>
        <w:pStyle w:val="3"/>
        <w:keepNext w:val="0"/>
        <w:keepLines w:val="0"/>
        <w:pageBreakBefore w:val="0"/>
        <w:widowControl w:val="0"/>
        <w:kinsoku/>
        <w:overflowPunct/>
        <w:topLinePunct w:val="0"/>
        <w:autoSpaceDE/>
        <w:autoSpaceDN/>
        <w:bidi w:val="0"/>
        <w:adjustRightInd/>
        <w:snapToGrid/>
        <w:spacing w:beforeLines="0" w:afterLines="0" w:line="360" w:lineRule="auto"/>
        <w:ind w:right="-226"/>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kern w:val="2"/>
          <w:sz w:val="32"/>
          <w:szCs w:val="32"/>
        </w:rPr>
        <w:t>小规模纳税人转让其取得的不动产，不能自行开具增值税发票的，可向不动产所在地主管税务机关申请代开。</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纳税人按照规定从取得的全部价款和价外费用中扣除支付的分包款，应当取得符合法律、行政法规和国家税务总局规定的合法有效凭证，包括：</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）从分包方取得的</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日前开具的建筑业营业税发票。上述建筑业营业税发票在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日前可作为预缴税款的扣除凭证。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）从分包方取得的</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日后开具的，备注栏注明建筑服务发生地所在县（市、区）、项目名称的增值税发票。</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）国家税务总局规定的其他凭证。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14.</w:t>
      </w:r>
      <w:r>
        <w:rPr>
          <w:rFonts w:hint="default" w:ascii="Times New Roman" w:hAnsi="Times New Roman" w:eastAsia="仿宋_GB2312" w:cs="Times New Roman"/>
          <w:b w:val="0"/>
          <w:bCs w:val="0"/>
          <w:color w:val="000000"/>
          <w:sz w:val="32"/>
          <w:szCs w:val="32"/>
        </w:rPr>
        <w:t>《增值税预缴税款表》各预征项目设置如下预征率：</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）建筑安装：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）销售不动产：</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）出租不动产：</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）个体工商户出租住房：按照</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%的征收率减按</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按照现行规定应当预缴增值税税款的小规模纳税人，凡在预缴地实现的月销售额未超过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个季度为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个纳税期的，季度销售额未超过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万元）的，当期无需预缴税款。</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16.</w:t>
      </w:r>
      <w:r>
        <w:rPr>
          <w:rFonts w:hint="default" w:ascii="Times New Roman" w:hAnsi="Times New Roman" w:eastAsia="仿宋_GB2312" w:cs="Times New Roman"/>
          <w:b w:val="0"/>
          <w:bCs w:val="0"/>
          <w:color w:val="000000"/>
          <w:sz w:val="32"/>
          <w:szCs w:val="32"/>
        </w:rPr>
        <w:t>纳税人有多缴税金，又存在欠税，可办理抵缴欠税业务。</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w:t>
      </w:r>
      <w:r>
        <w:rPr>
          <w:rFonts w:hint="default" w:ascii="Times New Roman" w:hAnsi="Times New Roman" w:eastAsia="仿宋_GB2312" w:cs="Times New Roman"/>
          <w:b w:val="0"/>
          <w:bCs w:val="0"/>
          <w:color w:val="000000"/>
          <w:sz w:val="32"/>
          <w:szCs w:val="32"/>
        </w:rPr>
        <w:t>政务服务无关的用途。</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【升级规范】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实行主税附加税合并申报。纳税人申报增值税、附征的城市维护建设税、教育费附加、地方教育附加自动计算申报，纳税人可以一次性完成主税附加税申报。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税务机关能够获取相关信息的，可不再报送纸质资料。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8A389"/>
    <w:multiLevelType w:val="singleLevel"/>
    <w:tmpl w:val="5CB8A389"/>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4B630A2"/>
    <w:rsid w:val="78AF3334"/>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99"/>
    <w:pPr>
      <w:widowControl w:val="0"/>
      <w:wordWrap w:val="0"/>
      <w:spacing w:beforeLines="100" w:afterLines="100" w:line="360" w:lineRule="auto"/>
      <w:ind w:firstLine="480" w:firstLineChars="200"/>
    </w:pPr>
    <w:rPr>
      <w:rFonts w:ascii="宋体" w:hAnsi="宋体" w:eastAsia="宋体" w:cs="宋体"/>
      <w:sz w:val="24"/>
      <w:szCs w:val="24"/>
      <w:lang w:val="en-US" w:eastAsia="zh-CN" w:bidi="ar-SA"/>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3.1.1 增值税一般纳税人申报"/>
    <w:qFormat/>
    <w:uiPriority w:val="0"/>
    <w:pPr>
      <w:keepNext/>
      <w:widowControl w:val="0"/>
      <w:topLinePunct/>
      <w:adjustRightInd w:val="0"/>
      <w:snapToGrid w:val="0"/>
      <w:spacing w:beforeLines="150" w:afterLines="15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8">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9">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10">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1727D84386804EDF80A8ADF265D26DFE</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2022-08-24T05:26:00Z</dcterms:created>
  <dc:creator>123</dc:creator>
  <cp:lastModifiedBy>123</cp:lastModifiedBy>
  <dcterms:modified xsi:type="dcterms:W3CDTF">2022-08-24T05:27:02Z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1727D84386804EDF80A8ADF265D26DFE</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2022-08-24T05:26:00Z</dcterms:created>
  <dcterms:modified xsi:type="dcterms:W3CDTF">2022-08-24T05:27:02Z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a2203-9563-4086-859f-5a3e552d95f9}">
  <ds:schemaRefs/>
</ds:datastoreItem>
</file>

<file path=customXml/itemProps3.xml><?xml version="1.0" encoding="utf-8"?>
<ds:datastoreItem xmlns:ds="http://schemas.openxmlformats.org/officeDocument/2006/customXml" ds:itemID="{13693a36-b148-43f6-b8e2-4ba0e5c7bf53}">
  <ds:schemaRefs/>
</ds:datastoreItem>
</file>

<file path=customXml/itemProps4.xml><?xml version="1.0" encoding="utf-8"?>
<ds:datastoreItem xmlns:ds="http://schemas.openxmlformats.org/officeDocument/2006/customXml" ds:itemID="{86611408-e291-4025-8e2f-2939ee5f6b60}">
  <ds:schemaRefs/>
</ds:datastoreItem>
</file>

<file path=customXml/itemProps5.xml><?xml version="1.0" encoding="utf-8"?>
<ds:datastoreItem xmlns:ds="http://schemas.openxmlformats.org/officeDocument/2006/customXml" ds:itemID="{2671cff5-536b-420a-9d68-7b9e9ac92ca5}">
  <ds:schemaRefs/>
</ds:datastoreItem>
</file>

<file path=customXml/itemProps6.xml><?xml version="1.0" encoding="utf-8"?>
<ds:datastoreItem xmlns:ds="http://schemas.openxmlformats.org/officeDocument/2006/customXml" ds:itemID="{7be8ae85-0f24-43c3-a3a9-72afea119831}">
  <ds:schemaRefs/>
</ds:datastoreItem>
</file>

<file path=customXml/itemProps7.xml><?xml version="1.0" encoding="utf-8"?>
<ds:datastoreItem xmlns:ds="http://schemas.openxmlformats.org/officeDocument/2006/customXml" ds:itemID="{4f68ba4d-8e81-4e8a-ab16-c84c37620200}">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2022-08-24T05:26:00Z</dcterms:created>
  <dc:creator>123</dc:creator>
  <cp:lastModifiedBy>Administrator</cp:lastModifiedBy>
  <dcterms:modified xsi:type="dcterms:W3CDTF">2022-08-25T10:08:01Z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