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26675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增值税适用加计抵减政策声明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增值税适用加计抵减政策声明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" w:name="_Hlk16254270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  <w:bookmarkEnd w:id="1"/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自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2021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日，允许生产、生活性服务业纳税人按照当期可抵扣进项税额加计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%，抵减应纳税额。纳税人在年度首次确认适用加计抵减政策时，应向主管税务机关提交说明。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生产、生活性服务业纳税人，指提供邮政服务、电信服务、现代服务、生活服务取得的销售额占全部销售额的比重超过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%的纳税人。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《国家税务总局关于深化增值税改革有关事项的公告》（国家税务总局公告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号）第八条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2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《适用加计抵减政策的声明》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4140" cy="1765935"/>
            <wp:effectExtent l="0" t="0" r="16510" b="0"/>
            <wp:docPr id="66" name="_x0000_i3852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_x0000_i3852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5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2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4.2019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日前设立的纳税人，自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月至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月期间的销售额(经营期不满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个月的，按照实际经营期的销售额)符合规定条件的，自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日起适用加计抵减政策；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日后设立的纳税人，自设立之日起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个月的销售额符合规定条件的，自登记为一般纳税人之日起适用加计抵减政策。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纳税人确定适用加计抵减政策后，当年内不再调整，以后年度是否适用，根据上年度销售额计算确定。纳税人可计提但未计提的加计抵减额，可在确定适用加计抵减政策当期一并计提。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按照现行规定不得从销项税额中抵扣的进项税额，不得计提加计抵减额；已计提加计抵减额的进项税额，按规定作进项税额转出的，应在进项税额转出当期，相应调减加计抵减额。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纳税人出口货物劳务、发生跨境应税行为不适用加计抵减政策，其对应的进项税额不得计提加计抵减额。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纳税人应单独核算加计抵减额的计提、抵减、调减、结余等变动情况。骗取适用加计抵减政策或虚增加计抵减额的，按照《中华人民共和国税收征收管理法》等有关规定处理。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9.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加计抵减政策执行到期后，纳税人不再计提加计抵减额，结余的加计抵减额停止抵减。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10.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适用加计抵减政策的纳税人，同时兼营邮政服务、电信服务、现代服务、生活服务的，应按照四项服务中收入占比最高的业务在《适用加计抵减政策的声明》中勾选确定所属行业。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按照纳税人报送材料录入数据。根据信息系统的提示信息，提醒纳税人更正纠错。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办理结束后，在文书表单上加盖印章，一份返还纳税人；电子税务局办理的，将办理结果通过电子税务局反馈给纳税人。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将资料进行归档。不得将纳税人的办理材料用于与政务服务无关的用途。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FC7BB0"/>
    <w:multiLevelType w:val="singleLevel"/>
    <w:tmpl w:val="EAFC7BB0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028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D1FC4E1F7D7445B1B25CFF246EF80BF8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2022-08-24T04:55:00Z</dcterms:created>
  <dc:creator>123</dc:creator>
  <cp:lastModifiedBy>123</cp:lastModifiedBy>
  <dcterms:modified xsi:type="dcterms:W3CDTF">2022-08-24T04:55:49Z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D1FC4E1F7D7445B1B25CFF246EF80BF8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2022-08-24T04:55:00Z</dcterms:created>
  <dcterms:modified xsi:type="dcterms:W3CDTF">2022-08-24T04:55:49Z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623856-78de-44d1-8cc3-e65b71ccae9b}">
  <ds:schemaRefs/>
</ds:datastoreItem>
</file>

<file path=customXml/itemProps3.xml><?xml version="1.0" encoding="utf-8"?>
<ds:datastoreItem xmlns:ds="http://schemas.openxmlformats.org/officeDocument/2006/customXml" ds:itemID="{06459ea0-6010-49d3-9a2f-89aa90a01714}">
  <ds:schemaRefs/>
</ds:datastoreItem>
</file>

<file path=customXml/itemProps4.xml><?xml version="1.0" encoding="utf-8"?>
<ds:datastoreItem xmlns:ds="http://schemas.openxmlformats.org/officeDocument/2006/customXml" ds:itemID="{0097d705-12cb-4e70-8f53-c710222cf2ab}">
  <ds:schemaRefs/>
</ds:datastoreItem>
</file>

<file path=customXml/itemProps5.xml><?xml version="1.0" encoding="utf-8"?>
<ds:datastoreItem xmlns:ds="http://schemas.openxmlformats.org/officeDocument/2006/customXml" ds:itemID="{50db80b4-751b-4baa-91cd-73bf75cc6382}">
  <ds:schemaRefs/>
</ds:datastoreItem>
</file>

<file path=customXml/itemProps6.xml><?xml version="1.0" encoding="utf-8"?>
<ds:datastoreItem xmlns:ds="http://schemas.openxmlformats.org/officeDocument/2006/customXml" ds:itemID="{374fe415-388b-49f6-b09c-ab4a0fca2915}">
  <ds:schemaRefs/>
</ds:datastoreItem>
</file>

<file path=customXml/itemProps7.xml><?xml version="1.0" encoding="utf-8"?>
<ds:datastoreItem xmlns:ds="http://schemas.openxmlformats.org/officeDocument/2006/customXml" ds:itemID="{e8dfaa51-019b-48b6-b14a-ba9495bf27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2022-08-24T04:55:00Z</dcterms:created>
  <dc:creator>123</dc:creator>
  <cp:lastModifiedBy>Administrator</cp:lastModifiedBy>
  <dcterms:modified xsi:type="dcterms:W3CDTF">2022-08-25T09:39:29Z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