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6237_WPSOffice_Level2"/>
      <w:bookmarkStart w:id="1" w:name="_Toc29910_WPSOffice_Level2"/>
      <w:bookmarkStart w:id="2" w:name="_Toc20173"/>
      <w:r>
        <w:rPr>
          <w:rFonts w:hint="eastAsia" w:ascii="方正小标宋_GBK" w:hAnsi="方正小标宋_GBK" w:eastAsia="方正小标宋_GBK" w:cs="方正小标宋_GBK"/>
          <w:b w:val="0"/>
          <w:bCs w:val="0"/>
          <w:color w:val="000000"/>
          <w:kern w:val="24"/>
          <w:sz w:val="40"/>
          <w:szCs w:val="40"/>
        </w:rPr>
        <w:t>增值税税控系统专用设备注销发行</w:t>
      </w:r>
      <w:bookmarkEnd w:id="0"/>
      <w:bookmarkEnd w:id="1"/>
      <w:bookmarkEnd w:id="2"/>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增值税税控系统专用设备注销发行</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纳税人发生清税等涉及增值税税控系统专用设备需注销发行的，税务机关在增值税税控系统中注销纳税人发行信息档案。需收缴设备的，收缴纳税人金税盘（税控盘）、报税盘。</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《中华人民共和国税收征收管理法》第二十三条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《国家税务总局关于修订&lt;增值税专用发票使用规定&gt;的通知》（国税发〔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156</w:t>
      </w:r>
      <w:r>
        <w:rPr>
          <w:rFonts w:hint="default" w:ascii="Times New Roman" w:hAnsi="Times New Roman" w:eastAsia="仿宋_GB2312" w:cs="Times New Roman"/>
          <w:b w:val="0"/>
          <w:bCs w:val="0"/>
          <w:color w:val="000000"/>
          <w:sz w:val="32"/>
          <w:szCs w:val="32"/>
        </w:rPr>
        <w:t>号）第三条、第二十三条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《国家税务总局关于统一小规模纳税人标准等若干增值税问题的公告》（国家税务总局公告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18</w:t>
      </w:r>
      <w:r>
        <w:rPr>
          <w:rFonts w:hint="default" w:ascii="Times New Roman" w:hAnsi="Times New Roman" w:eastAsia="仿宋_GB2312" w:cs="Times New Roman"/>
          <w:b w:val="0"/>
          <w:bCs w:val="0"/>
          <w:color w:val="000000"/>
          <w:sz w:val="32"/>
          <w:szCs w:val="32"/>
        </w:rPr>
        <w:t>号）第六条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金税盘（税控盘）、报税盘</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1280" w:firstLineChars="40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清税注销</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清税申报表（注销申请表）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可通过办税服务厅（场所）办理，具体地点可从省（自治区、直辖市和计划单列市）税务局网站“纳税服务”栏目查询。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76095"/>
            <wp:effectExtent l="0" t="0" r="16510" b="0"/>
            <wp:docPr id="124" name="_x0000_i3198"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_x0000_i3198" descr="C:\Users\baoqianyu\Desktop\流程图\即办\纳税人（无归档）.png纳税人（无归档）"/>
                    <pic:cNvPicPr>
                      <a:picLocks noChangeAspect="1"/>
                    </pic:cNvPicPr>
                  </pic:nvPicPr>
                  <pic:blipFill>
                    <a:blip r:embed="rId4"/>
                    <a:stretch>
                      <a:fillRect/>
                    </a:stretch>
                  </pic:blipFill>
                  <pic:spPr>
                    <a:xfrm>
                      <a:off x="0" y="0"/>
                      <a:ext cx="5184140" cy="177609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注销发行前，应事前办理空白发票的退回或缴销，以及采集已开具增值税发票数据。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纳税人有下列情形之一的，需要上缴增值税税控系统专用设备：</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）依法清税注销、终止纳税义务。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）减少分开票机。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）根据国家税务总局的统一部署，需更换新型号防伪税控设备的，其旧型号防伪税控设备需办理注销发行。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7.纳税人当前使用的增值税税控系统专用设备发生损毁或盗失等情况，若继续使用的，做更换金税设备处理，不再继续使用的，报税务机关备案并办理注销发行。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增值税纳税人使用的税控盘、金税盘、报税盘等税控专用设备丢失、被盗，应及时向主管税务机关报告。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注销报税后在增值税税控系统中将纳税人发行信息档案注销，收缴金税盘（税控盘）、报税盘。</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办理结束后，将办理结果反馈给纳税人。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3" w:name="_GoBack"/>
      <w:bookmarkEnd w:id="3"/>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税务机关提供电子税务局办理增值税税控系统专用设备注销发行服务。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F7470"/>
    <w:multiLevelType w:val="singleLevel"/>
    <w:tmpl w:val="43EF747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BDA214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E80D3C62E48543399314766B97CFB787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2022-08-24T05:15:00Z</dcterms:created>
  <dc:creator>123</dc:creator>
  <cp:lastModifiedBy>123</cp:lastModifiedBy>
  <dcterms:modified xsi:type="dcterms:W3CDTF">2022-08-24T05:16:24Z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E80D3C62E48543399314766B97CFB787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2022-08-24T05:15:00Z</dcterms:created>
  <dcterms:modified xsi:type="dcterms:W3CDTF">2022-08-24T05:16:24Z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9c18d-387c-4701-b7c1-2d49f86e6249}">
  <ds:schemaRefs/>
</ds:datastoreItem>
</file>

<file path=customXml/itemProps3.xml><?xml version="1.0" encoding="utf-8"?>
<ds:datastoreItem xmlns:ds="http://schemas.openxmlformats.org/officeDocument/2006/customXml" ds:itemID="{02edf632-aa9e-4ebc-8100-ca8292c1d0e7}">
  <ds:schemaRefs/>
</ds:datastoreItem>
</file>

<file path=customXml/itemProps4.xml><?xml version="1.0" encoding="utf-8"?>
<ds:datastoreItem xmlns:ds="http://schemas.openxmlformats.org/officeDocument/2006/customXml" ds:itemID="{ea38622e-b2df-440b-88cc-b0eb1f4e10d2}">
  <ds:schemaRefs/>
</ds:datastoreItem>
</file>

<file path=customXml/itemProps5.xml><?xml version="1.0" encoding="utf-8"?>
<ds:datastoreItem xmlns:ds="http://schemas.openxmlformats.org/officeDocument/2006/customXml" ds:itemID="{e3ad6d4b-4709-42e5-8200-4f3d03de89b4}">
  <ds:schemaRefs/>
</ds:datastoreItem>
</file>

<file path=customXml/itemProps6.xml><?xml version="1.0" encoding="utf-8"?>
<ds:datastoreItem xmlns:ds="http://schemas.openxmlformats.org/officeDocument/2006/customXml" ds:itemID="{6742fdd0-5336-4b92-9ba3-9cccba6a4933}">
  <ds:schemaRefs/>
</ds:datastoreItem>
</file>

<file path=customXml/itemProps7.xml><?xml version="1.0" encoding="utf-8"?>
<ds:datastoreItem xmlns:ds="http://schemas.openxmlformats.org/officeDocument/2006/customXml" ds:itemID="{2d021a6b-df77-4231-aad4-35375edd9764}">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2022-08-24T05:15:00Z</dcterms:created>
  <dc:creator>123</dc:creator>
  <cp:lastModifiedBy>Administrator</cp:lastModifiedBy>
  <dcterms:modified xsi:type="dcterms:W3CDTF">2022-08-25T08:06:39Z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