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2134"/>
      <w:r>
        <w:rPr>
          <w:rFonts w:hint="eastAsia" w:ascii="方正小标宋_GBK" w:hAnsi="方正小标宋_GBK" w:eastAsia="方正小标宋_GBK" w:cs="方正小标宋_GBK"/>
          <w:b w:val="0"/>
          <w:bCs w:val="0"/>
          <w:color w:val="000000"/>
          <w:sz w:val="40"/>
          <w:szCs w:val="40"/>
        </w:rPr>
        <w:t>增值税期末留抵税额退税</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增值税期末留抵税额退税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符合条件的增值税一般纳税人，由于特定事项产生的留抵税额，按照一定的计算公式予以计算退还，主要包括：</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符合条件的集成电路重大项目增值税留抵税额退税。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对外购用于生产乙烯、芳烃类化工产品的石脑油、燃料油价格中消费税部分对应的增值税额退税。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符合条件的大型客机和新支线飞机增值税留抵税额退税。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27</w:t>
      </w:r>
      <w:r>
        <w:rPr>
          <w:rFonts w:hint="default" w:ascii="Times New Roman" w:hAnsi="Times New Roman" w:eastAsia="仿宋_GB2312" w:cs="Times New Roman"/>
          <w:b w:val="0"/>
          <w:bCs w:val="0"/>
          <w:color w:val="000000"/>
          <w:sz w:val="32"/>
          <w:szCs w:val="32"/>
        </w:rPr>
        <w:t>日起，对实行增值税期末留抵退税的纳税人，允许其从城市维护建设税、教育费附加和地方教育附加的计税（征）依据中扣除退还的增值税税额。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日起，试行增值税期末留抵税额退税制度。符合以下条件的纳税人，可以向主管税务机关申请退还增量留抵税额：自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月税款所属期起，连续六个月（按季纳税的，连续两个季度）增量留抵税额均大于零，且第六个月增量留抵税额不低于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万元；纳税信用等级为A级或者B级；申请退税前</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36</w:t>
      </w:r>
      <w:r>
        <w:rPr>
          <w:rFonts w:hint="default" w:ascii="Times New Roman" w:hAnsi="Times New Roman" w:eastAsia="仿宋_GB2312" w:cs="Times New Roman"/>
          <w:b w:val="0"/>
          <w:bCs w:val="0"/>
          <w:color w:val="000000"/>
          <w:sz w:val="32"/>
          <w:szCs w:val="32"/>
        </w:rPr>
        <w:t>个月未发生骗取留抵退税、出口退税或虚开增值税专用发票情形的；申请退税前</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36</w:t>
      </w:r>
      <w:r>
        <w:rPr>
          <w:rFonts w:hint="default" w:ascii="Times New Roman" w:hAnsi="Times New Roman" w:eastAsia="仿宋_GB2312" w:cs="Times New Roman"/>
          <w:b w:val="0"/>
          <w:bCs w:val="0"/>
          <w:color w:val="000000"/>
          <w:sz w:val="32"/>
          <w:szCs w:val="32"/>
        </w:rPr>
        <w:t>个月未因偷税被税务机关处罚两次及以上的；自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日起未享受即征即退、先征后返（退）政策的。</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《中华人民共和国税收征收管理法》第五十一条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《中华人民共和国税收征收管理法实施细则》第七十八条、第七十九条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508"/>
        <w:gridCol w:w="3028"/>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679" w:type="dxa"/>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2" w:hRule="atLeast"/>
          <w:jc w:val="center"/>
          <w:hidden/>
        </w:trPr>
        <w:tc>
          <w:tcPr>
            <w:tcW w:w="6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《增值税期末留抵税额退税申请表》</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符合条件的集成电路重大项目增值税留抵税额退税、外购用于生产乙烯、芳烃类化工产品的石脑油、燃料油价格中消费税部分对应的增值税额退税、符合条件的大型客机和新支线飞机增值税留抵税额退税填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hidden/>
        </w:trPr>
        <w:tc>
          <w:tcPr>
            <w:tcW w:w="6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《退（抵）税申请表》</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2" w:type="dxa"/>
            <w:gridSpan w:val="5"/>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tcBorders>
              <w:top w:val="single" w:color="auto" w:sz="4" w:space="0"/>
              <w:left w:val="single" w:color="auto" w:sz="4" w:space="0"/>
              <w:right w:val="single" w:color="auto" w:sz="4" w:space="0"/>
            </w:tcBorders>
            <w:shd w:val="clear" w:color="auto" w:fill="D7D7D7"/>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028" w:type="dxa"/>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符合条件的集成电路重大项目增值税留抵税额退税</w:t>
            </w:r>
          </w:p>
        </w:tc>
        <w:tc>
          <w:tcPr>
            <w:tcW w:w="3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增值税专用发票复印件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海关进口增值税专用缴款书复印件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进口协议复印件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进口货物报关单复印件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对外购用于生产乙烯、芳烃类化工产品的石脑油、燃料油价格中消费税部分对应的增值税额退税</w:t>
            </w:r>
          </w:p>
        </w:tc>
        <w:tc>
          <w:tcPr>
            <w:tcW w:w="3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增值税专用发票复印件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海关进口增值税专用缴款书复印件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购进合同复印件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进口货物报关单复印件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2187" w:type="dxa"/>
            <w:gridSpan w:val="2"/>
            <w:tcBorders>
              <w:top w:val="single" w:color="auto" w:sz="4" w:space="0"/>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因特殊情况不能退至纳税人、扣缴义务人原缴款账户</w:t>
            </w:r>
          </w:p>
        </w:tc>
        <w:tc>
          <w:tcPr>
            <w:tcW w:w="3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由于特殊情况不能退至纳税人、扣缴义务人原缴款账户的书面说明，相关证明资料，和指定接受退税的其他账户及接受退税单位（人）名称的资料</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符合条件的集成电路重大项目增值税留抵税额退税和对外购用于生产乙烯、芳烃类化工产品的石脑油、燃料油价格中消费税部分对应的增值税额退税事项，</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个工作日内办结；</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其他增值税期末留抵税额退税事项，</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w:t>
      </w:r>
      <w:r>
        <w:rPr>
          <w:rFonts w:hint="default" w:ascii="Times New Roman" w:hAnsi="Times New Roman" w:eastAsia="仿宋_GB2312" w:cs="Times New Roman"/>
          <w:b w:val="0"/>
          <w:bCs w:val="0"/>
          <w:color w:val="000000"/>
          <w:sz w:val="32"/>
          <w:szCs w:val="32"/>
          <w:lang w:eastAsia="zh-CN"/>
        </w:rPr>
        <w:t>内办结</w:t>
      </w:r>
      <w:r>
        <w:rPr>
          <w:rFonts w:hint="default" w:ascii="Times New Roman" w:hAnsi="Times New Roman" w:eastAsia="仿宋_GB2312" w:cs="Times New Roman"/>
          <w:b w:val="0"/>
          <w:bCs w:val="0"/>
          <w:color w:val="000000"/>
          <w:sz w:val="32"/>
          <w:szCs w:val="32"/>
        </w:rPr>
        <w:t>。</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b w:val="0"/>
          <w:bCs w:val="0"/>
          <w:color w:val="000000"/>
          <w:sz w:val="32"/>
          <w:szCs w:val="32"/>
        </w:rPr>
      </w:pPr>
      <w:bookmarkStart w:id="1" w:name="_Hlk15391692"/>
      <w:r>
        <w:rPr>
          <w:rFonts w:hint="default" w:ascii="Times New Roman" w:hAnsi="Times New Roman" w:eastAsia="仿宋_GB2312" w:cs="Times New Roman"/>
          <w:b w:val="0"/>
          <w:bCs w:val="0"/>
          <w:color w:val="000000"/>
          <w:sz w:val="32"/>
          <w:szCs w:val="32"/>
        </w:rPr>
        <w:drawing>
          <wp:inline distT="0" distB="0" distL="0" distR="0">
            <wp:extent cx="5184140" cy="1769745"/>
            <wp:effectExtent l="0" t="0" r="16510" b="1905"/>
            <wp:docPr id="150" name="_x0000_i3238"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_x0000_i3238" descr="C:\Users\baoqianyu\Desktop\流程图\流转\纳税人.png纳税人"/>
                    <pic:cNvPicPr>
                      <a:picLocks noChangeAspect="1"/>
                    </pic:cNvPicPr>
                  </pic:nvPicPr>
                  <pic:blipFill>
                    <a:blip r:embed="rId4"/>
                    <a:stretch>
                      <a:fillRect/>
                    </a:stretch>
                  </pic:blipFill>
                  <pic:spPr>
                    <a:xfrm>
                      <a:off x="0" y="0"/>
                      <a:ext cx="5184140" cy="1769745"/>
                    </a:xfrm>
                    <a:prstGeom prst="rect">
                      <a:avLst/>
                    </a:prstGeom>
                    <a:ln>
                      <a:noFill/>
                    </a:ln>
                  </pic:spPr>
                </pic:pic>
              </a:graphicData>
            </a:graphic>
          </wp:inline>
        </w:drawing>
      </w:r>
      <w:bookmarkEnd w:id="1"/>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lang w:val="zh-CN"/>
        </w:rPr>
      </w:pPr>
      <w:bookmarkStart w:id="2" w:name="_Hlk514859329"/>
      <w:r>
        <w:rPr>
          <w:rFonts w:hint="default" w:ascii="Times New Roman" w:hAnsi="Times New Roman" w:eastAsia="仿宋_GB2312" w:cs="Times New Roman"/>
          <w:b w:val="0"/>
          <w:bCs w:val="0"/>
          <w:color w:val="000000"/>
          <w:sz w:val="32"/>
          <w:szCs w:val="32"/>
          <w:lang w:val="zh-CN"/>
        </w:rPr>
        <w:t>【纳税人注意事项】</w:t>
      </w:r>
      <w:bookmarkEnd w:id="2"/>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val="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lang w:val="zh-CN"/>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3" w:name="_Hlk514859322"/>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符合条件的集成电路重大项目增值税留抵税额退税，对外购用于生产乙烯、芳烃类化工产品的石脑油、燃料油价格中消费税部分对应的增值税额退税，纳税人应于每月申报期结束后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个工作日内向主管税务机关申请退税。</w:t>
      </w:r>
      <w:bookmarkEnd w:id="3"/>
      <w:r>
        <w:rPr>
          <w:rFonts w:hint="default" w:ascii="Times New Roman" w:hAnsi="Times New Roman" w:eastAsia="仿宋_GB2312" w:cs="Times New Roman"/>
          <w:b w:val="0"/>
          <w:bCs w:val="0"/>
          <w:color w:val="000000"/>
          <w:sz w:val="32"/>
          <w:szCs w:val="32"/>
        </w:rPr>
        <w:t>其他符合条件的纳税人申请办理留抵退税，应于符合留抵退税条件的次月起，在增值税纳税申报期内，完成本期增值税纳税申报后，提出申请。</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纳税人收到退税款项的当月，应将退税额从增值税进项税额中转出。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对国家批准的集成电路重大项目企业，购进使用期限超过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个月的机器、机械、运输工具以及其他与生产经营有关的设备、工具、器具等，因购进该设备形成的增值税期末留抵税额予以退还。</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对实行增值税期末留抵退税的纳税人，允许其从城市维护建设税、教育费附加和地方教育附加的计税（征）依据中扣除退还的增值税税额。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纳税人既有增值税欠税，又有期末留抵税额的，按最近一期《增值税纳税申报表（一般纳税人适用）》期末留抵税额，抵减增值税欠税后的余额确定允许退还的增量留抵税额。</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办税服务厅接收到相关责任部门反馈后，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个工作日内通知纳税人领取办理结果，制作</w:t>
      </w:r>
      <w:r>
        <w:rPr>
          <w:rFonts w:hint="default" w:ascii="Times New Roman" w:hAnsi="Times New Roman" w:eastAsia="仿宋_GB2312" w:cs="Times New Roman"/>
          <w:b w:val="0"/>
          <w:bCs w:val="0"/>
          <w:color w:val="000000"/>
          <w:sz w:val="32"/>
          <w:szCs w:val="32"/>
        </w:rPr>
        <w:t>并</w:t>
      </w:r>
      <w:r>
        <w:rPr>
          <w:rFonts w:hint="default" w:ascii="Times New Roman" w:hAnsi="Times New Roman" w:eastAsia="仿宋_GB2312" w:cs="Times New Roman"/>
          <w:b w:val="0"/>
          <w:bCs w:val="0"/>
          <w:color w:val="000000"/>
          <w:sz w:val="32"/>
          <w:szCs w:val="32"/>
        </w:rPr>
        <w:t>发放《税务事项通知书》。电子税务局办理的，将办理结果通过电子税务局反馈给纳税人。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4" w:name="_GoBack"/>
      <w:bookmarkEnd w:id="4"/>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税务机关能够获取相关信息的，可不再报送纸质资料。</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0A781"/>
    <w:multiLevelType w:val="singleLevel"/>
    <w:tmpl w:val="4820A781"/>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AF23E4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510419D69BA744B598CD89D5BD94E847</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2022-08-24T06:01:00Z</dcterms:created>
  <dc:creator>123</dc:creator>
  <cp:lastModifiedBy>123</cp:lastModifiedBy>
  <dcterms:modified xsi:type="dcterms:W3CDTF">2022-08-24T06:01:24Z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510419D69BA744B598CD89D5BD94E847</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2022-08-24T06:01:00Z</dcterms:created>
  <dcterms:modified xsi:type="dcterms:W3CDTF">2022-08-24T06:01:24Z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c0484-1aa6-4212-b21b-10c5e153a67b}">
  <ds:schemaRefs/>
</ds:datastoreItem>
</file>

<file path=customXml/itemProps3.xml><?xml version="1.0" encoding="utf-8"?>
<ds:datastoreItem xmlns:ds="http://schemas.openxmlformats.org/officeDocument/2006/customXml" ds:itemID="{08de3786-14a5-4a8b-8b82-d58dd835b32f}">
  <ds:schemaRefs/>
</ds:datastoreItem>
</file>

<file path=customXml/itemProps4.xml><?xml version="1.0" encoding="utf-8"?>
<ds:datastoreItem xmlns:ds="http://schemas.openxmlformats.org/officeDocument/2006/customXml" ds:itemID="{eb2e3df6-84d3-4464-8b3e-9927d9e367da}">
  <ds:schemaRefs/>
</ds:datastoreItem>
</file>

<file path=customXml/itemProps5.xml><?xml version="1.0" encoding="utf-8"?>
<ds:datastoreItem xmlns:ds="http://schemas.openxmlformats.org/officeDocument/2006/customXml" ds:itemID="{d84a2db8-bfb8-4800-b5b5-0bb116aace30}">
  <ds:schemaRefs/>
</ds:datastoreItem>
</file>

<file path=customXml/itemProps6.xml><?xml version="1.0" encoding="utf-8"?>
<ds:datastoreItem xmlns:ds="http://schemas.openxmlformats.org/officeDocument/2006/customXml" ds:itemID="{adf74036-f6a7-4017-9df2-29be8d06aeb2}">
  <ds:schemaRefs/>
</ds:datastoreItem>
</file>

<file path=customXml/itemProps7.xml><?xml version="1.0" encoding="utf-8"?>
<ds:datastoreItem xmlns:ds="http://schemas.openxmlformats.org/officeDocument/2006/customXml" ds:itemID="{ae543e1e-7bc6-433c-a239-ccb0a6a8c7c4}">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2022-08-24T06:01:00Z</dcterms:created>
  <dc:creator>123</dc:creator>
  <cp:lastModifiedBy>Administrator</cp:lastModifiedBy>
  <dcterms:modified xsi:type="dcterms:W3CDTF">2022-08-25T13:08:07Z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