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0116"/>
      <w:r>
        <w:rPr>
          <w:rFonts w:hint="eastAsia" w:ascii="方正小标宋_GBK" w:hAnsi="方正小标宋_GBK" w:eastAsia="方正小标宋_GBK" w:cs="方正小标宋_GBK"/>
          <w:b w:val="0"/>
          <w:bCs w:val="0"/>
          <w:color w:val="000000"/>
          <w:kern w:val="24"/>
          <w:sz w:val="40"/>
          <w:szCs w:val="40"/>
        </w:rPr>
        <w:t>停业登记</w:t>
      </w:r>
      <w:bookmarkEnd w:id="0"/>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停业登记</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实行定期定额征收的个体工商户或比照定期定额户进行管理的个人独资企业发生停业的，应当在停业前向税务机关书面提出停业报告；纳税人停业期满不能及时恢复生产经营的，应当在停业期满前到主管税务机关办理延长停业报告。</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《个体工商户税收定期定额征收管理办法》（国家税务总局令第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44</w:t>
      </w:r>
      <w:r>
        <w:rPr>
          <w:rFonts w:hint="default" w:ascii="Times New Roman" w:hAnsi="Times New Roman" w:eastAsia="仿宋_GB2312" w:cs="Times New Roman"/>
          <w:b w:val="0"/>
          <w:bCs w:val="0"/>
          <w:color w:val="000000"/>
          <w:sz w:val="32"/>
          <w:szCs w:val="32"/>
        </w:rPr>
        <w:t>号修改）第二十条、第二十五条</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lang w:eastAsia="zh-CN"/>
              </w:rPr>
            </w:pPr>
            <w:bookmarkStart w:id="1" w:name="_Hlk14367555"/>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《停业复业报告书》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left"/>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shd w:val="clear" w:color="auto" w:fill="D9D9D9"/>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left w:val="single" w:color="auto" w:sz="4" w:space="0"/>
              <w:right w:val="single" w:color="auto" w:sz="4" w:space="0"/>
            </w:tcBorders>
            <w:shd w:val="clear" w:color="auto" w:fill="D9D9D9"/>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纳税人存在未缴存税务登记证件</w:t>
            </w:r>
          </w:p>
        </w:tc>
        <w:tc>
          <w:tcPr>
            <w:tcW w:w="2835" w:type="dxa"/>
            <w:tcBorders>
              <w:left w:val="single" w:color="auto" w:sz="4" w:space="0"/>
              <w:right w:val="single" w:color="auto" w:sz="4" w:space="0"/>
            </w:tcBorders>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税务登记证正、副本</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税务机关封存</w:t>
            </w:r>
            <w:bookmarkEnd w:id="1"/>
          </w:p>
        </w:tc>
      </w:tr>
    </w:tbl>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66" name="_x0000_i3264"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_x0000_i3264"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2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纳税人在停业期间发生纳税义务的，应当按照税收法律、行政法规的规定申报缴纳税款。</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纳税人在申报办理停业登记时，应如实填写停业复业报告书，说明停业理由、停业期限、停业前的纳税情况和发票的领、用、存情况，并结清应纳税款、滞纳金、罚款。</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纳税人按申报停业登记时的停业期限准期复业的，应当在停业到期前向主管税务机关申报办理复业登记；纳税人提前复业的，应当在恢复生产经营之前向主管税务机关申报办理复业登记。</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纳税人停业期满未按期复业又不申请延长停业的，视为已恢复生产经营，税务机关将纳入正常管理，并按核定税额按期征收税款。</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纳税人的停业期限不得超过一年。</w:t>
      </w:r>
    </w:p>
    <w:p>
      <w:pPr>
        <w:numPr>
          <w:ilvl w:val="0"/>
          <w:numId w:val="1"/>
        </w:numPr>
        <w:wordWrap w:val="0"/>
        <w:spacing w:line="360" w:lineRule="auto"/>
        <w:ind w:left="0" w:leftChars="0" w:firstLine="397" w:firstLineChars="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jc w:val="left"/>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default" w:ascii="Times New Roman" w:hAnsi="Times New Roman" w:eastAsia="仿宋_GB2312" w:cs="Times New Roman"/>
          <w:b w:val="0"/>
          <w:bCs w:val="0"/>
          <w:color w:val="000000"/>
          <w:sz w:val="32"/>
          <w:szCs w:val="32"/>
          <w:lang w:eastAsia="zh-CN"/>
        </w:rPr>
        <w:t>。</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办理结束后，在文书表单上加盖印章，一份返还纳税人；电子税务局办理的，将办理结果通过电子税务局反馈给纳税人。</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jc w:val="left"/>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jc w:val="left"/>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1E7870"/>
    <w:multiLevelType w:val="singleLevel"/>
    <w:tmpl w:val="CB1E787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64C043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FF48B4AF175246BAA77A4DB5A14A6256</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2022-08-24T04:58:00Z</dcterms:created>
  <dc:creator>123</dc:creator>
  <cp:lastModifiedBy>123</cp:lastModifiedBy>
  <dcterms:modified xsi:type="dcterms:W3CDTF">2022-08-24T04:59:24Z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FF48B4AF175246BAA77A4DB5A14A6256</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2022-08-24T04:58:00Z</dcterms:created>
  <dcterms:modified xsi:type="dcterms:W3CDTF">2022-08-24T04:59:24Z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7b932-de07-41aa-9672-b6b74b706836}">
  <ds:schemaRefs/>
</ds:datastoreItem>
</file>

<file path=customXml/itemProps3.xml><?xml version="1.0" encoding="utf-8"?>
<ds:datastoreItem xmlns:ds="http://schemas.openxmlformats.org/officeDocument/2006/customXml" ds:itemID="{cf5415b6-9c86-4ffa-a51a-e06150f83bbb}">
  <ds:schemaRefs/>
</ds:datastoreItem>
</file>

<file path=customXml/itemProps4.xml><?xml version="1.0" encoding="utf-8"?>
<ds:datastoreItem xmlns:ds="http://schemas.openxmlformats.org/officeDocument/2006/customXml" ds:itemID="{a7818e09-3ffc-4380-b7e6-01bf9f5b45c2}">
  <ds:schemaRefs/>
</ds:datastoreItem>
</file>

<file path=customXml/itemProps5.xml><?xml version="1.0" encoding="utf-8"?>
<ds:datastoreItem xmlns:ds="http://schemas.openxmlformats.org/officeDocument/2006/customXml" ds:itemID="{f745cf80-3331-4d16-8869-0863b73b301b}">
  <ds:schemaRefs/>
</ds:datastoreItem>
</file>

<file path=customXml/itemProps6.xml><?xml version="1.0" encoding="utf-8"?>
<ds:datastoreItem xmlns:ds="http://schemas.openxmlformats.org/officeDocument/2006/customXml" ds:itemID="{09ec4e40-0a5e-46c9-a1e6-c1debf5ea1fa}">
  <ds:schemaRefs/>
</ds:datastoreItem>
</file>

<file path=customXml/itemProps7.xml><?xml version="1.0" encoding="utf-8"?>
<ds:datastoreItem xmlns:ds="http://schemas.openxmlformats.org/officeDocument/2006/customXml" ds:itemID="{b9ae0b2b-a02a-4a94-a408-f895bdbbd8b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2022-08-24T04:58:00Z</dcterms:created>
  <dc:creator>123</dc:creator>
  <cp:lastModifiedBy>Administrator</cp:lastModifiedBy>
  <dcterms:modified xsi:type="dcterms:W3CDTF">2022-08-26T03:18:20Z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