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4595"/>
      <w:r>
        <w:rPr>
          <w:rFonts w:hint="eastAsia" w:ascii="方正小标宋_GBK" w:hAnsi="方正小标宋_GBK" w:eastAsia="方正小标宋_GBK" w:cs="方正小标宋_GBK"/>
          <w:b w:val="0"/>
          <w:bCs w:val="0"/>
          <w:color w:val="000000"/>
          <w:kern w:val="24"/>
          <w:sz w:val="40"/>
          <w:szCs w:val="40"/>
        </w:rPr>
        <w:t>一般纳税人转登记小规模纳税人</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一般纳税人转登记小规模纳税人</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转登记日前连续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个月（以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个月为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个纳税期）或者连续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个季度（以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个季度为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个纳税期）累计销售额未超过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500</w:t>
      </w:r>
      <w:r>
        <w:rPr>
          <w:rFonts w:hint="default" w:ascii="Times New Roman" w:hAnsi="Times New Roman" w:eastAsia="仿宋_GB2312" w:cs="Times New Roman"/>
          <w:b w:val="0"/>
          <w:bCs w:val="0"/>
          <w:color w:val="000000"/>
          <w:sz w:val="32"/>
          <w:szCs w:val="32"/>
        </w:rPr>
        <w:t>万元的一般纳税人，在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31</w:t>
      </w:r>
      <w:r>
        <w:rPr>
          <w:rFonts w:hint="default" w:ascii="Times New Roman" w:hAnsi="Times New Roman" w:eastAsia="仿宋_GB2312" w:cs="Times New Roman"/>
          <w:b w:val="0"/>
          <w:bCs w:val="0"/>
          <w:color w:val="000000"/>
          <w:sz w:val="32"/>
          <w:szCs w:val="32"/>
        </w:rPr>
        <w:t>日前，可选择转登记为小规模纳税人。</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《国家税务总局关于小规模纳税人免征增值税政策有关征管问题的公告》（国家税务总局公告</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号）第五条第一款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《一般纳税人转为小规模纳税人登记表》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加载统一社会信用代码的营业执照（或税务登记证、组织机构代码证等）原件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查验后退回</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313" name="_x0000_i4287"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_x0000_i4287"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转登记日前经营期不满</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个月或者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个季度的，按照月（季度）平均应税销售额估算累计应税销售额。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一般纳税人转登记为小规模纳税人（以下称转登记纳税人）后，自转登记日的下期起</w:t>
      </w:r>
      <w:r>
        <w:rPr>
          <w:rFonts w:hint="default" w:ascii="Times New Roman" w:hAnsi="Times New Roman" w:eastAsia="仿宋_GB2312" w:cs="Times New Roman"/>
          <w:b w:val="0"/>
          <w:bCs w:val="0"/>
          <w:color w:val="000000"/>
          <w:sz w:val="32"/>
          <w:szCs w:val="32"/>
        </w:rPr>
        <w:t>（按季申报纳税人自下一季度开始；按月申报纳税人自下月开始）</w:t>
      </w:r>
      <w:r>
        <w:rPr>
          <w:rFonts w:hint="default" w:ascii="Times New Roman" w:hAnsi="Times New Roman" w:eastAsia="仿宋_GB2312" w:cs="Times New Roman"/>
          <w:b w:val="0"/>
          <w:bCs w:val="0"/>
          <w:color w:val="000000"/>
          <w:sz w:val="32"/>
          <w:szCs w:val="32"/>
        </w:rPr>
        <w:t>，按照简易计税方法计算缴纳增值税；转登记日当期仍按照一般纳税人的有关规定计算缴纳增值税。</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转登记纳税人尚未申报抵扣的进项税额以及转登记日当期的期末留抵税额，计入“应交税费</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待抵扣进项税额”核算。</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转登记纳税人在一般纳税人期间销售或者购进的货物、劳务、服务、无形资产、不动产，自转登记日的下期起发生销售折让、中止或者退回的，调整转登记日当期的销项税额、进项税额和应纳税额。转登记纳税人因税务稽查、补充申报等原因，需要对一般纳税人期间的销项税额、进项税额和应纳税额进行调整的，按照上述规定处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转登记纳税人可以继续使用现有税控设备开具增值税发票，不需要缴销税控设备和增值税发票。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转登记纳税人自转登记日的下期起，发生增值税应税销售行为，应当按照征收率开具增值税发票；转登记日前</w:t>
      </w:r>
      <w:r>
        <w:rPr>
          <w:rFonts w:hint="default" w:ascii="Times New Roman" w:hAnsi="Times New Roman" w:eastAsia="仿宋_GB2312" w:cs="Times New Roman"/>
          <w:b w:val="0"/>
          <w:bCs w:val="0"/>
          <w:color w:val="000000"/>
          <w:sz w:val="32"/>
          <w:szCs w:val="32"/>
        </w:rPr>
        <w:t>已办理</w:t>
      </w:r>
      <w:r>
        <w:rPr>
          <w:rFonts w:hint="default" w:ascii="Times New Roman" w:hAnsi="Times New Roman" w:eastAsia="仿宋_GB2312" w:cs="Times New Roman"/>
          <w:b w:val="0"/>
          <w:bCs w:val="0"/>
          <w:color w:val="000000"/>
          <w:sz w:val="32"/>
          <w:szCs w:val="32"/>
        </w:rPr>
        <w:t>增值税专用发票票种核定的，继续通过增值税发票管理系统自行开具增值税专用发票；销售其取得的不动产，需要开具增值税专用发票的，应当按照有关规定向税务机关申请代开。</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转登记纳税人在一般纳税人期间发生的增值税应税销售行为，未开具增值税发票需要补开的，应当按照原适用税率或者征收率补开增值税发票；发生销售折让、中止或者退回等情形，需要开具红字发票的，按照原蓝字发票记载的内容开具红字发票；开票有误需要重新开具的，先按照原蓝字发票记载的内容开具红字发票后，再重新开具正确的蓝字发票。</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自转登记日的下期起连续不超过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sz w:val="32"/>
          <w:szCs w:val="32"/>
        </w:rPr>
        <w:t>个月或者连续不超过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个季度的经营期内，转登记纳税人应税销售额超过财政部、国家税务总局规定的小规模纳税人标准的，应当按照《增值税一般纳税人登记管理办法》（国家税务总局令第</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43</w:t>
      </w:r>
      <w:r>
        <w:rPr>
          <w:rFonts w:hint="default" w:ascii="Times New Roman" w:hAnsi="Times New Roman" w:eastAsia="仿宋_GB2312" w:cs="Times New Roman"/>
          <w:b w:val="0"/>
          <w:bCs w:val="0"/>
          <w:color w:val="000000"/>
          <w:sz w:val="32"/>
          <w:szCs w:val="32"/>
        </w:rPr>
        <w:t>号公布）的有关规定，向主管税务机关办理一般纳税人登记。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曾在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olor w:val="000000"/>
          <w:sz w:val="32"/>
          <w:szCs w:val="32"/>
        </w:rPr>
        <w:t>选择过转登记的纳税人，</w:t>
      </w:r>
      <w:r>
        <w:rPr>
          <w:rFonts w:hint="default" w:ascii="Times New Roman" w:hAnsi="Times New Roman" w:eastAsia="仿宋_GB2312" w:cs="Times New Roman"/>
          <w:b w:val="0"/>
          <w:bCs w:val="0"/>
          <w:color w:val="000000"/>
          <w:sz w:val="32"/>
          <w:szCs w:val="32"/>
        </w:rPr>
        <w:t>重新登记为一般纳税人的，在</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年仍可选择转登记；</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sz w:val="32"/>
          <w:szCs w:val="32"/>
        </w:rPr>
        <w:t>年选择转登记的纳税人，</w:t>
      </w:r>
      <w:r>
        <w:rPr>
          <w:rFonts w:hint="default" w:ascii="Times New Roman" w:hAnsi="Times New Roman" w:eastAsia="仿宋_GB2312" w:cs="Times New Roman"/>
          <w:b w:val="0"/>
          <w:bCs w:val="0"/>
          <w:color w:val="000000"/>
          <w:sz w:val="32"/>
          <w:szCs w:val="32"/>
        </w:rPr>
        <w:t>再次登记为一般纳税人后，不得再转登记为小规模纳税人。</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default" w:ascii="Times New Roman" w:hAnsi="Times New Roman" w:eastAsia="仿宋_GB2312" w:cs="Times New Roman"/>
          <w:b w:val="0"/>
          <w:bCs w:val="0"/>
          <w:color w:val="000000"/>
          <w:sz w:val="32"/>
          <w:szCs w:val="32"/>
          <w:lang w:eastAsia="zh-CN"/>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办理结束后，在文书表单上加盖印章，一份返还纳税人；电子税务局办理的，将办理结果通过电子税务局反馈给纳税人。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C8BA4"/>
    <w:multiLevelType w:val="singleLevel"/>
    <w:tmpl w:val="9E0C8BA4"/>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04B4A58"/>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CC33BBBC08844D39B20AC166BF571520</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2022-08-24T04:54:00Z</dcterms:created>
  <dc:creator>123</dc:creator>
  <cp:lastModifiedBy>123</cp:lastModifiedBy>
  <dcterms:modified xsi:type="dcterms:W3CDTF">2022-08-24T04:54:47Z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CC33BBBC08844D39B20AC166BF571520</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2022-08-24T04:54:00Z</dcterms:created>
  <dcterms:modified xsi:type="dcterms:W3CDTF">2022-08-24T04:54:47Z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5e8c3-9815-4655-b6f5-6afda01bdd61}">
  <ds:schemaRefs/>
</ds:datastoreItem>
</file>

<file path=customXml/itemProps3.xml><?xml version="1.0" encoding="utf-8"?>
<ds:datastoreItem xmlns:ds="http://schemas.openxmlformats.org/officeDocument/2006/customXml" ds:itemID="{b7ec391d-d900-47d6-9a68-1da8a56a450c}">
  <ds:schemaRefs/>
</ds:datastoreItem>
</file>

<file path=customXml/itemProps4.xml><?xml version="1.0" encoding="utf-8"?>
<ds:datastoreItem xmlns:ds="http://schemas.openxmlformats.org/officeDocument/2006/customXml" ds:itemID="{0e7a9302-0b0d-44d5-81ed-2ad1849d4dfa}">
  <ds:schemaRefs/>
</ds:datastoreItem>
</file>

<file path=customXml/itemProps5.xml><?xml version="1.0" encoding="utf-8"?>
<ds:datastoreItem xmlns:ds="http://schemas.openxmlformats.org/officeDocument/2006/customXml" ds:itemID="{96743897-7b1b-43d4-85b1-94050b331512}">
  <ds:schemaRefs/>
</ds:datastoreItem>
</file>

<file path=customXml/itemProps6.xml><?xml version="1.0" encoding="utf-8"?>
<ds:datastoreItem xmlns:ds="http://schemas.openxmlformats.org/officeDocument/2006/customXml" ds:itemID="{09696153-3689-4f37-aecb-87c03c758847}">
  <ds:schemaRefs/>
</ds:datastoreItem>
</file>

<file path=customXml/itemProps7.xml><?xml version="1.0" encoding="utf-8"?>
<ds:datastoreItem xmlns:ds="http://schemas.openxmlformats.org/officeDocument/2006/customXml" ds:itemID="{529506a4-d621-4bd5-b7fd-42373c0dcad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2022-08-24T04:54:00Z</dcterms:created>
  <dc:creator>123</dc:creator>
  <cp:lastModifiedBy>Administrator</cp:lastModifiedBy>
  <dcterms:modified xsi:type="dcterms:W3CDTF">2022-08-26T03:16:29Z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