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/>
        </w:rPr>
        <w:t>河道管理范围内特定活动审批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博湖县水利局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  《中华人民共和国河道管理条例》、《中华人民共和国国务院令 第676号》、《1996年7月26日自治区八届人大常委会第二十二次会议通过条款号：第二十二条》。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资料齐全，符合法定形式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、书面申请；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2、河道管理范围内可行性研究报告。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  <w:bookmarkStart w:id="0" w:name="_Toc23776_WPSOffice_Level2"/>
      <w:bookmarkStart w:id="1" w:name="_Toc27025_WPSOffice_Level1"/>
      <w:bookmarkStart w:id="2" w:name="_Toc17443_WPSOffice_Level2"/>
      <w:bookmarkStart w:id="3" w:name="_Toc2989_WPSOffice_Level1"/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562" w:firstLineChars="200"/>
        <w:jc w:val="both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562" w:firstLineChars="200"/>
        <w:jc w:val="both"/>
        <w:rPr>
          <w:rFonts w:hint="default" w:ascii="黑体" w:hAnsi="黑体" w:eastAsia="黑体" w:cs="黑体"/>
          <w:lang w:val="en-US"/>
        </w:rPr>
      </w:pPr>
      <w:bookmarkStart w:id="4" w:name="_GoBack"/>
      <w:bookmarkEnd w:id="4"/>
      <w:r>
        <w:rPr>
          <w:rFonts w:hint="eastAsia" w:cs="黑体"/>
          <w:lang w:val="en-US" w:eastAsia="zh-CN"/>
        </w:rPr>
        <w:t>河道管理范围内有关活动（不含河道采砂）审批流程图</w:t>
      </w:r>
    </w:p>
    <w:p>
      <w:pPr>
        <w:jc w:val="center"/>
        <w:rPr>
          <w:sz w:val="44"/>
        </w:rPr>
      </w:pPr>
      <w:r>
        <w:rPr>
          <w:sz w:val="44"/>
        </w:rPr>
        <w:pict>
          <v:roundrect id="_x0000_s1191" o:spid="_x0000_s1191" o:spt="2" style="position:absolute;left:0pt;margin-left:-58.75pt;margin-top:103.85pt;height:144pt;width:127.2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不属于受理范畴或不属于本机关职责范围内的，不予受理出具《不予受理通知书》告知申请人向有关部门申请</w:t>
                  </w:r>
                </w:p>
              </w:txbxContent>
            </v:textbox>
          </v:roundrect>
        </w:pict>
      </w:r>
      <w:r>
        <w:rPr>
          <w:sz w:val="44"/>
        </w:rPr>
        <w:pict>
          <v:roundrect id="_x0000_s1192" o:spid="_x0000_s1192" o:spt="2" style="position:absolute;left:0pt;margin-left:107.15pt;margin-top:11.3pt;height:27.6pt;width:163.8pt;z-index:251659264;v-text-anchor:middle;mso-width-relative:page;mso-height-relative:page;" filled="f" stroked="t" coordsize="21600,21600" arcsize="0.166666666666667">
            <v:path/>
            <v:fill on="f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 w:eastAsia="宋体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申请人到水利局申请</w:t>
                  </w:r>
                </w:p>
              </w:txbxContent>
            </v:textbox>
          </v:roundrect>
        </w:pict>
      </w:r>
      <w:r>
        <w:rPr>
          <w:sz w:val="44"/>
        </w:rPr>
        <w:pict>
          <v:roundrect id="_x0000_s1193" o:spid="_x0000_s1193" o:spt="2" style="position:absolute;left:0pt;margin-left:88.8pt;margin-top:59.85pt;height:28.75pt;width:201.05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受理（1个工作日）</w:t>
                  </w:r>
                </w:p>
                <w:p>
                  <w:pPr>
                    <w:jc w:val="center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博湖县水政股统一受理</w:t>
                  </w:r>
                </w:p>
              </w:txbxContent>
            </v:textbox>
          </v:roundrect>
        </w:pict>
      </w:r>
      <w:r>
        <w:rPr>
          <w:sz w:val="44"/>
        </w:rPr>
        <w:pict>
          <v:shape id="_x0000_s1194" o:spid="_x0000_s1194" o:spt="32" type="#_x0000_t32" style="position:absolute;left:0pt;margin-left:189.05pt;margin-top:38.9pt;height:20.4pt;width:0.6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  <w:r>
        <w:rPr>
          <w:sz w:val="44"/>
        </w:rPr>
        <w:pict>
          <v:shape id="_x0000_s1195" o:spid="_x0000_s1195" o:spt="33" type="#_x0000_t33" style="position:absolute;left:0pt;margin-left:289.85pt;margin-top:11.85pt;height:39.2pt;width:104.4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sz w:val="44"/>
        </w:rPr>
        <w:pict>
          <v:shape id="_x0000_s1196" o:spid="_x0000_s1196" o:spt="33" type="#_x0000_t33" style="position:absolute;left:0pt;flip:y;margin-left:4.8pt;margin-top:11.85pt;height:29.6pt;width:83.95pt;rotation:11796480f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sz w:val="44"/>
        </w:rPr>
        <w:pict>
          <v:shape id="_x0000_s1197" o:spid="_x0000_s1197" o:spt="32" type="#_x0000_t32" style="position:absolute;left:0pt;margin-left:190.25pt;margin-top:26.3pt;height:20.4pt;width:0.6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  <w:r>
        <w:rPr>
          <w:sz w:val="44"/>
        </w:rPr>
        <w:pict>
          <v:roundrect id="_x0000_s1198" o:spid="_x0000_s1198" o:spt="2" style="position:absolute;left:0pt;margin-left:93.6pt;margin-top:16.65pt;height:49.75pt;width:201.05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材料交于博湖县水政股，材料可当场更正的，允许当场更正</w:t>
                  </w:r>
                </w:p>
              </w:txbxContent>
            </v:textbox>
          </v:roundrect>
        </w:pict>
      </w:r>
      <w:r>
        <w:rPr>
          <w:sz w:val="44"/>
        </w:rPr>
        <w:pict>
          <v:roundrect id="_x0000_s1199" o:spid="_x0000_s1199" o:spt="2" style="position:absolute;left:0pt;margin-left:330.65pt;margin-top:19.85pt;height:126.65pt;width:127.2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材料不齐全或是不符合法定程序的，当场或是3个工作日内返回材料，发放《一次性补正告知》</w:t>
                  </w:r>
                </w:p>
              </w:txbxContent>
            </v:textbox>
          </v:roundrect>
        </w:pict>
      </w: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  <w:r>
        <w:rPr>
          <w:sz w:val="44"/>
        </w:rPr>
        <w:pict>
          <v:roundrect id="_x0000_s1200" o:spid="_x0000_s1200" o:spt="2" style="position:absolute;left:0pt;margin-left:91.8pt;margin-top:24.45pt;height:87.55pt;width:201.05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both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申请人按照要求提供的材料齐全，符合法定形式，或申请人按照要求提交全部补正材料的出具《受理通知书》</w:t>
                  </w:r>
                </w:p>
              </w:txbxContent>
            </v:textbox>
          </v:roundrect>
        </w:pict>
      </w:r>
      <w:r>
        <w:rPr>
          <w:sz w:val="44"/>
        </w:rPr>
        <w:pict>
          <v:shape id="_x0000_s1201" o:spid="_x0000_s1201" o:spt="32" type="#_x0000_t32" style="position:absolute;left:0pt;margin-left:192.65pt;margin-top:4.25pt;height:20.8pt;width:0.3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9"/>
        <w:rPr>
          <w:sz w:val="44"/>
        </w:rPr>
      </w:pPr>
      <w:r>
        <w:rPr>
          <w:sz w:val="44"/>
        </w:rPr>
        <w:pict>
          <v:roundrect id="_x0000_s1202" o:spid="_x0000_s1202" o:spt="2" style="position:absolute;left:0pt;margin-left:331.85pt;margin-top:82.35pt;height:109.7pt;width:127.2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对第三者利益有重大影响，或申请人提出听证要求的，按相关听证规定办理。</w:t>
                  </w:r>
                </w:p>
              </w:txbxContent>
            </v:textbox>
          </v:roundrect>
        </w:pict>
      </w:r>
      <w:r>
        <w:rPr>
          <w:sz w:val="44"/>
        </w:rPr>
        <w:pict>
          <v:shape id="_x0000_s1203" o:spid="_x0000_s1203" o:spt="32" type="#_x0000_t32" style="position:absolute;left:0pt;flip:x;margin-left:190.75pt;margin-top:242.9pt;height:42.55pt;width:0.35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sz w:val="28"/>
        </w:rPr>
        <w:pict>
          <v:shape id="_x0000_s1204" o:spid="_x0000_s1204" o:spt="33" type="#_x0000_t33" style="position:absolute;left:0pt;flip:y;margin-left:36.05pt;margin-top:264.25pt;height:14pt;width:155.4pt;rotation:11796480f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sz w:val="44"/>
        </w:rPr>
        <w:pict>
          <v:roundrect id="_x0000_s1205" o:spid="_x0000_s1205" o:spt="2" style="position:absolute;left:0pt;margin-left:155.3pt;margin-top:286.7pt;height:62.25pt;width:88.35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eastAsia" w:eastAsia="宋体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eastAsia="宋体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  <w:t>下发许可意见（</w:t>
                  </w:r>
                  <w:r>
                    <w:rPr>
                      <w:rFonts w:hint="eastAsia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rFonts w:hint="eastAsia" w:eastAsia="宋体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  <w:t>个工作日）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局领导签字</w:t>
                  </w:r>
                </w:p>
              </w:txbxContent>
            </v:textbox>
          </v:roundrect>
        </w:pict>
      </w:r>
      <w:r>
        <w:rPr>
          <w:sz w:val="44"/>
        </w:rPr>
        <w:pict>
          <v:shape id="_x0000_s1206" o:spid="_x0000_s1206" o:spt="32" type="#_x0000_t32" style="position:absolute;left:0pt;flip:x;margin-left:190.75pt;margin-top:263.9pt;height:42.55pt;width:0.35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sz w:val="44"/>
        </w:rPr>
        <w:pict>
          <v:shape id="_x0000_s1207" o:spid="_x0000_s1207" o:spt="32" type="#_x0000_t32" style="position:absolute;left:0pt;margin-left:191.45pt;margin-top:175.65pt;height:18.6pt;width:0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sz w:val="44"/>
        </w:rPr>
        <w:pict>
          <v:roundrect id="_x0000_s1208" o:spid="_x0000_s1208" o:spt="2" style="position:absolute;left:0pt;margin-left:94.8pt;margin-top:194.85pt;height:49.75pt;width:201.05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审批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局领导签字</w:t>
                  </w:r>
                </w:p>
              </w:txbxContent>
            </v:textbox>
          </v:roundrect>
        </w:pict>
      </w:r>
      <w:r>
        <w:rPr>
          <w:sz w:val="44"/>
        </w:rPr>
        <w:pict>
          <v:shape id="_x0000_s1209" o:spid="_x0000_s1209" o:spt="32" type="#_x0000_t32" style="position:absolute;left:0pt;flip:x;margin-left:189.65pt;margin-top:79.65pt;height:19.2pt;width:0.6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sz w:val="44"/>
        </w:rPr>
        <w:pict>
          <v:roundrect id="_x0000_s1210" o:spid="_x0000_s1210" o:spt="2" style="position:absolute;left:0pt;margin-left:93pt;margin-top:101.3pt;height:73.1pt;width:201.05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 w:eastAsia="宋体"/>
                      <w:color w:val="000000"/>
                      <w:spacing w:val="-2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eastAsia="宋体"/>
                      <w:color w:val="000000"/>
                      <w:spacing w:val="-20"/>
                      <w:sz w:val="28"/>
                      <w:szCs w:val="28"/>
                      <w:lang w:val="en-US" w:eastAsia="zh-CN"/>
                    </w:rPr>
                    <w:t>审核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 w:eastAsia="宋体"/>
                      <w:color w:val="000000"/>
                      <w:spacing w:val="-2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eastAsia="宋体"/>
                      <w:color w:val="000000"/>
                      <w:spacing w:val="-20"/>
                      <w:sz w:val="28"/>
                      <w:szCs w:val="28"/>
                      <w:lang w:val="en-US" w:eastAsia="zh-CN"/>
                    </w:rPr>
                    <w:t>水利局审查材料、组织现场勘验</w:t>
                  </w:r>
                  <w:r>
                    <w:rPr>
                      <w:rFonts w:hint="eastAsia"/>
                      <w:color w:val="000000"/>
                      <w:spacing w:val="-20"/>
                      <w:sz w:val="28"/>
                      <w:szCs w:val="28"/>
                      <w:lang w:val="en-US" w:eastAsia="zh-CN"/>
                    </w:rPr>
                    <w:t>、专家论证</w:t>
                  </w:r>
                </w:p>
              </w:txbxContent>
            </v:textbox>
          </v:roundrect>
        </w:pict>
      </w:r>
      <w:r>
        <w:rPr>
          <w:sz w:val="44"/>
        </w:rPr>
        <w:pict>
          <v:shape id="_x0000_s1211" o:spid="_x0000_s1211" o:spt="32" type="#_x0000_t32" style="position:absolute;left:0pt;flip:y;margin-left:294.05pt;margin-top:137.2pt;height:0.65pt;width:37.8pt;z-index:251660288;mso-width-relative:page;mso-height-relative:page;" filled="f" stroked="t" coordsize="21600,21600">
            <v:path arrowok="t"/>
            <v:fill on="f" focussize="0,0"/>
            <v:stroke joinstyle="round" endarrow="open"/>
            <v:imagedata o:title=""/>
            <o:lock v:ext="edit"/>
          </v:shape>
        </w:pict>
      </w: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</w:p>
    <w:p>
      <w:pPr>
        <w:ind w:firstLine="1120" w:firstLineChars="400"/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/>
          <w:kern w:val="2"/>
          <w:sz w:val="28"/>
          <w:szCs w:val="28"/>
          <w:lang w:val="en-US" w:eastAsia="zh-CN" w:bidi="ar-SA"/>
        </w:rPr>
        <w:t>不合格              合格</w:t>
      </w:r>
    </w:p>
    <w:p>
      <w:pPr>
        <w:widowControl/>
        <w:kinsoku w:val="0"/>
        <w:wordWrap w:val="0"/>
        <w:topLinePunct/>
        <w:ind w:left="0" w:leftChars="0" w:firstLine="0" w:firstLineChars="0"/>
        <w:rPr>
          <w:rFonts w:hint="eastAsia" w:ascii="黑体" w:hAnsi="黑体" w:eastAsia="黑体" w:cs="黑体"/>
        </w:rPr>
      </w:pPr>
      <w:r>
        <w:rPr>
          <w:sz w:val="44"/>
        </w:rPr>
        <w:pict>
          <v:roundrect id="_x0000_s1212" o:spid="_x0000_s1212" o:spt="2" style="position:absolute;left:0pt;margin-left:-40.6pt;margin-top:11.75pt;height:119.45pt;width:182.45pt;z-index:251660288;v-text-anchor:middle;mso-width-relative:page;mso-height-relative:page;" fillcolor="#CCE8CF" filled="t" stroked="t" coordsize="21600,21600" arcsize="0.166666666666667">
            <v:path/>
            <v:fill on="t" focussize="0,0"/>
            <v:stroke weight="2pt" joinstyle="round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eastAsia" w:eastAsia="宋体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eastAsia="宋体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  <w:t>作出不予行政许可的决定，说明理由并告知申请人可在60日内依法向博湖县人民政府或博湖县水利局申请行政复议，或者在3个月以内向博湖县人民法院提起行政诉讼。</w:t>
                  </w:r>
                </w:p>
              </w:txbxContent>
            </v:textbox>
          </v:roundrect>
        </w:pict>
      </w:r>
    </w:p>
    <w:p>
      <w:pPr>
        <w:widowControl/>
        <w:kinsoku w:val="0"/>
        <w:wordWrap w:val="0"/>
        <w:topLinePunct/>
        <w:ind w:left="0" w:leftChars="0" w:firstLine="0" w:firstLineChars="0"/>
        <w:rPr>
          <w:rFonts w:hint="eastAsia" w:ascii="黑体" w:hAnsi="黑体" w:eastAsia="黑体" w:cs="黑体"/>
        </w:rPr>
      </w:pPr>
    </w:p>
    <w:p>
      <w:pPr>
        <w:widowControl/>
        <w:kinsoku w:val="0"/>
        <w:wordWrap w:val="0"/>
        <w:topLinePunct/>
        <w:ind w:left="0" w:leftChars="0" w:firstLine="0" w:firstLineChars="0"/>
        <w:rPr>
          <w:rFonts w:hint="eastAsia" w:ascii="黑体" w:hAnsi="黑体" w:eastAsia="黑体" w:cs="黑体"/>
        </w:rPr>
      </w:pPr>
    </w:p>
    <w:p>
      <w:pPr>
        <w:widowControl/>
        <w:kinsoku w:val="0"/>
        <w:wordWrap w:val="0"/>
        <w:topLinePunct/>
        <w:ind w:left="0" w:leftChars="0" w:firstLine="0" w:firstLineChars="0"/>
        <w:rPr>
          <w:rFonts w:hint="eastAsia" w:ascii="黑体" w:hAnsi="黑体" w:eastAsia="黑体" w:cs="黑体"/>
        </w:rPr>
      </w:pPr>
    </w:p>
    <w:p>
      <w:pPr>
        <w:widowControl/>
        <w:kinsoku w:val="0"/>
        <w:wordWrap w:val="0"/>
        <w:topLinePunct/>
        <w:ind w:left="0" w:leftChars="0" w:firstLine="0" w:firstLineChars="0"/>
        <w:rPr>
          <w:rFonts w:hint="eastAsia" w:ascii="黑体" w:hAnsi="黑体" w:eastAsia="黑体" w:cs="黑体"/>
        </w:rPr>
      </w:pPr>
    </w:p>
    <w:bookmarkEnd w:id="0"/>
    <w:bookmarkEnd w:id="1"/>
    <w:bookmarkEnd w:id="2"/>
    <w:bookmarkEnd w:id="3"/>
    <w:p>
      <w:pPr>
        <w:jc w:val="both"/>
        <w:rPr>
          <w:sz w:val="4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    资料齐全并符合所有条件者在30个工作日内作出准予许可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>博湖县行政服务中心（综合窗口），联系电话：0996-6929661.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0C7F3046"/>
    <w:rsid w:val="43D673A0"/>
    <w:rsid w:val="755977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194"/>
        <o:r id="V:Rule2" type="connector" idref="#_x0000_s1195"/>
        <o:r id="V:Rule3" type="connector" idref="#_x0000_s1196"/>
        <o:r id="V:Rule4" type="connector" idref="#_x0000_s1197"/>
        <o:r id="V:Rule5" type="connector" idref="#_x0000_s1201"/>
        <o:r id="V:Rule6" type="connector" idref="#_x0000_s1203"/>
        <o:r id="V:Rule7" type="connector" idref="#_x0000_s1204"/>
        <o:r id="V:Rule8" type="connector" idref="#_x0000_s1206"/>
        <o:r id="V:Rule9" type="connector" idref="#_x0000_s1207"/>
        <o:r id="V:Rule10" type="connector" idref="#_x0000_s1209"/>
        <o:r id="V:Rule11" type="connector" idref="#_x0000_s121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标题 31"/>
    <w:basedOn w:val="1"/>
    <w:next w:val="1"/>
    <w:qFormat/>
    <w:uiPriority w:val="99"/>
    <w:pPr>
      <w:keepNext/>
      <w:topLinePunct/>
      <w:adjustRightInd w:val="0"/>
      <w:snapToGrid w:val="0"/>
      <w:spacing w:beforeLines="125" w:afterLines="125"/>
      <w:ind w:firstLine="510"/>
      <w:outlineLvl w:val="2"/>
    </w:pPr>
    <w:rPr>
      <w:rFonts w:ascii="Times New Roman" w:hAnsi="Times New Roman" w:eastAsia="黑体" w:cs="Times New Roman"/>
      <w:b/>
      <w:bCs/>
      <w:kern w:val="24"/>
      <w:sz w:val="28"/>
      <w:szCs w:val="28"/>
    </w:rPr>
  </w:style>
  <w:style w:type="character" w:customStyle="1" w:styleId="7">
    <w:name w:val="默认段落字体1"/>
    <w:semiHidden/>
    <w:uiPriority w:val="0"/>
  </w:style>
  <w:style w:type="paragraph" w:customStyle="1" w:styleId="8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页眉1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1"/>
    <w:basedOn w:val="1"/>
    <w:qFormat/>
    <w:uiPriority w:val="0"/>
    <w:pPr>
      <w:topLinePunct/>
      <w:ind w:firstLine="480"/>
    </w:pPr>
    <w:rPr>
      <w:color w:val="000000"/>
    </w:rPr>
  </w:style>
  <w:style w:type="paragraph" w:customStyle="1" w:styleId="11">
    <w:name w:val="3 sunshine"/>
    <w:basedOn w:val="6"/>
    <w:qFormat/>
    <w:uiPriority w:val="99"/>
    <w:pPr>
      <w:spacing w:beforeLines="100" w:afterLines="100"/>
      <w:ind w:firstLine="562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3</Pages>
  <Words>313</Words>
  <Characters>361</Characters>
  <Application>WPS Office_11.1.0.12302_F1E327BC-269C-435d-A152-05C5408002CA</Application>
  <DocSecurity>0</DocSecurity>
  <Lines>0</Lines>
  <Paragraphs>0</Paragraphs>
  <CharactersWithSpaces>377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2022-08-16T10:10:55Z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4526d5-f76c-4b8c-a69e-1e5ebd13efcd}">
  <ds:schemaRefs/>
</ds:datastoreItem>
</file>

<file path=customXml/itemProps3.xml><?xml version="1.0" encoding="utf-8"?>
<ds:datastoreItem xmlns:ds="http://schemas.openxmlformats.org/officeDocument/2006/customXml" ds:itemID="{ba7e7a4c-909c-4c91-a0eb-2cfea23e8545}">
  <ds:schemaRefs/>
</ds:datastoreItem>
</file>

<file path=customXml/itemProps4.xml><?xml version="1.0" encoding="utf-8"?>
<ds:datastoreItem xmlns:ds="http://schemas.openxmlformats.org/officeDocument/2006/customXml" ds:itemID="{0bdd6908-b1b7-429d-b9e6-223a2ef713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305</Words>
  <Characters>353</Characters>
  <Lines>0</Lines>
  <Paragraphs>0</Paragraphs>
  <TotalTime>9</TotalTime>
  <ScaleCrop>false</ScaleCrop>
  <LinksUpToDate>false</LinksUpToDate>
  <CharactersWithSpaces>369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2022-12-08T04:31:36Z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FD96E9CDB9804390A04BBA3FF7B88C0F</vt:lpwstr>
  </property>
</Properties>
</file>