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城镇职工基本养老保险关系转移接续申请</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《国务院办公厅关于转发人力资源社</w:t>
      </w:r>
      <w:bookmarkStart w:id="0" w:name="_GoBack"/>
      <w:bookmarkEnd w:id="0"/>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会保障部财政部城镇企业职工基本养老保险关系转移接续暂行办法的通知》（国务院【2009】66号）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参加企业养老的人员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310" w:firstLineChars="100"/>
        <w:textAlignment w:val="auto"/>
        <w:rPr>
          <w:rFonts w:hint="default" w:ascii="Times New Roman" w:hAnsi="Times New Roman" w:eastAsia="方正仿宋_GBK" w:cs="Times New Roman"/>
          <w:b w:val="0"/>
          <w:color w:val="auto"/>
          <w:kern w:val="2"/>
          <w:sz w:val="31"/>
          <w:szCs w:val="31"/>
          <w:lang w:val="en-US" w:eastAsia="zh-CN" w:bidi="ar-SA"/>
        </w:rPr>
      </w:pPr>
      <w:r>
        <w:rPr>
          <w:rFonts w:hint="default" w:ascii="Times New Roman" w:hAnsi="Times New Roman" w:eastAsia="方正仿宋_GBK" w:cs="Times New Roman"/>
          <w:b w:val="0"/>
          <w:color w:val="auto"/>
          <w:kern w:val="2"/>
          <w:sz w:val="31"/>
          <w:szCs w:val="31"/>
          <w:lang w:val="en-US" w:eastAsia="zh-CN" w:bidi="ar-SA"/>
        </w:rPr>
        <w:t>1、线上办理：</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60" w:lineRule="exact"/>
        <w:ind w:left="420" w:leftChars="0" w:firstLineChars="0"/>
        <w:textAlignment w:val="auto"/>
        <w:rPr>
          <w:rFonts w:hint="default" w:ascii="Times New Roman" w:hAnsi="Times New Roman" w:eastAsia="方正仿宋_GBK" w:cs="Times New Roman"/>
          <w:color w:val="auto"/>
          <w:sz w:val="31"/>
          <w:szCs w:val="31"/>
          <w:lang w:val="en-US" w:eastAsia="zh-CN" w:bidi="ar-SA"/>
        </w:rPr>
      </w:pPr>
      <w:r>
        <w:rPr>
          <w:rFonts w:hint="default" w:ascii="Times New Roman" w:hAnsi="Times New Roman" w:eastAsia="方正仿宋_GBK" w:cs="Times New Roman"/>
          <w:color w:val="auto"/>
          <w:sz w:val="31"/>
          <w:szCs w:val="31"/>
          <w:lang w:val="en-US" w:eastAsia="zh-CN" w:bidi="ar-SA"/>
        </w:rPr>
        <w:t>通过新疆政务服务平台自助办理；</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60" w:lineRule="exact"/>
        <w:ind w:left="420" w:leftChars="0" w:firstLineChars="0"/>
        <w:textAlignment w:val="auto"/>
        <w:rPr>
          <w:rFonts w:hint="default" w:ascii="Times New Roman" w:hAnsi="Times New Roman" w:eastAsia="方正仿宋_GBK" w:cs="Times New Roman"/>
          <w:color w:val="auto"/>
          <w:sz w:val="31"/>
          <w:szCs w:val="31"/>
          <w:lang w:val="en-US" w:eastAsia="zh-CN" w:bidi="ar-SA"/>
        </w:rPr>
      </w:pPr>
      <w:r>
        <w:rPr>
          <w:rFonts w:hint="default" w:ascii="Times New Roman" w:hAnsi="Times New Roman" w:eastAsia="方正仿宋_GBK" w:cs="Times New Roman"/>
          <w:color w:val="auto"/>
          <w:sz w:val="31"/>
          <w:szCs w:val="31"/>
          <w:lang w:val="en-US" w:eastAsia="zh-CN" w:bidi="ar-SA"/>
        </w:rPr>
        <w:t>通过国家社会保险公共服务平台自助办理；</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60" w:lineRule="exact"/>
        <w:ind w:left="420" w:leftChars="0" w:firstLineChars="0"/>
        <w:textAlignment w:val="auto"/>
        <w:rPr>
          <w:rFonts w:hint="default" w:ascii="Times New Roman" w:hAnsi="Times New Roman" w:eastAsia="方正仿宋_GBK" w:cs="Times New Roman"/>
          <w:color w:val="auto"/>
          <w:sz w:val="31"/>
          <w:szCs w:val="31"/>
          <w:lang w:val="en-US" w:eastAsia="zh-CN" w:bidi="ar-SA"/>
        </w:rPr>
      </w:pPr>
      <w:r>
        <w:rPr>
          <w:rFonts w:hint="default" w:ascii="Times New Roman" w:hAnsi="Times New Roman" w:eastAsia="方正仿宋_GBK" w:cs="Times New Roman"/>
          <w:color w:val="auto"/>
          <w:sz w:val="31"/>
          <w:szCs w:val="31"/>
          <w:lang w:val="en-US" w:eastAsia="zh-CN" w:bidi="ar-SA"/>
        </w:rPr>
        <w:t>通过电子社保卡渠道（所有已开通电子社保卡的APP、小</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textAlignment w:val="auto"/>
        <w:rPr>
          <w:rFonts w:hint="default" w:ascii="Times New Roman" w:hAnsi="Times New Roman" w:eastAsia="方正仿宋_GBK" w:cs="Times New Roman"/>
          <w:color w:val="auto"/>
          <w:sz w:val="31"/>
          <w:szCs w:val="31"/>
          <w:lang w:val="en-US" w:eastAsia="zh-CN" w:bidi="ar-SA"/>
        </w:rPr>
      </w:pPr>
      <w:r>
        <w:rPr>
          <w:rFonts w:hint="default" w:ascii="Times New Roman" w:hAnsi="Times New Roman" w:eastAsia="方正仿宋_GBK" w:cs="Times New Roman"/>
          <w:color w:val="auto"/>
          <w:sz w:val="31"/>
          <w:szCs w:val="31"/>
          <w:lang w:val="en-US" w:eastAsia="zh-CN" w:bidi="ar-SA"/>
        </w:rPr>
        <w:t>程序、公众号）自助办理；</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60" w:lineRule="exact"/>
        <w:ind w:left="420" w:leftChars="0" w:firstLineChars="0"/>
        <w:textAlignment w:val="auto"/>
        <w:rPr>
          <w:rFonts w:hint="default" w:ascii="Times New Roman" w:hAnsi="Times New Roman" w:eastAsia="方正仿宋_GBK" w:cs="Times New Roman"/>
          <w:color w:val="auto"/>
          <w:sz w:val="31"/>
          <w:szCs w:val="31"/>
          <w:lang w:val="en-US" w:eastAsia="zh-CN" w:bidi="ar-SA"/>
        </w:rPr>
      </w:pPr>
      <w:r>
        <w:rPr>
          <w:rFonts w:hint="default" w:ascii="Times New Roman" w:hAnsi="Times New Roman" w:eastAsia="方正仿宋_GBK" w:cs="Times New Roman"/>
          <w:color w:val="auto"/>
          <w:sz w:val="31"/>
          <w:szCs w:val="31"/>
          <w:lang w:val="en-US" w:eastAsia="zh-CN" w:bidi="ar-SA"/>
        </w:rPr>
        <w:t>通过“掌上12333”手机APP自助办理。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310" w:firstLineChars="10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color w:val="auto"/>
          <w:sz w:val="31"/>
          <w:szCs w:val="31"/>
          <w:lang w:val="en-US" w:eastAsia="zh-CN" w:bidi="ar-SA"/>
        </w:rPr>
        <w:t>2、现场办理：参保地社保经办机构综合服务大厅人工办理。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pStyle w:val="2"/>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eastAsia="zh-CN"/>
        </w:rPr>
        <w:drawing>
          <wp:inline distT="0" distB="0" distL="114300" distR="114300">
            <wp:extent cx="5257800" cy="4201160"/>
            <wp:effectExtent l="0" t="0" r="0" b="8890"/>
            <wp:docPr id="964" name="_x0000_i410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_x0000_i4104" descr="4"/>
                    <pic:cNvPicPr>
                      <a:picLocks noChangeAspect="1"/>
                    </pic:cNvPicPr>
                  </pic:nvPicPr>
                  <pic:blipFill>
                    <a:blip r:embed="rId4"/>
                    <a:stretch>
                      <a:fillRect/>
                    </a:stretch>
                  </pic:blipFill>
                  <pic:spPr>
                    <a:xfrm>
                      <a:off x="0" y="0"/>
                      <a:ext cx="5257800" cy="4201160"/>
                    </a:xfrm>
                    <a:prstGeom prst="rect">
                      <a:avLst/>
                    </a:prstGeom>
                    <a:noFill/>
                    <a:ln>
                      <a:noFill/>
                    </a:ln>
                  </pic:spPr>
                </pic:pic>
              </a:graphicData>
            </a:graphic>
          </wp:inline>
        </w:drawing>
      </w:r>
    </w:p>
    <w:p>
      <w:pPr>
        <w:bidi w:val="0"/>
        <w:rPr>
          <w:rFonts w:hint="default" w:ascii="Times New Roman" w:hAnsi="Times New Roman" w:eastAsia="方正仿宋_GBK" w:cs="Times New Roman"/>
          <w:color w:val="auto"/>
          <w:sz w:val="31"/>
          <w:szCs w:val="31"/>
          <w:lang w:val="en-US" w:eastAsia="zh-CN"/>
        </w:rPr>
      </w:pPr>
    </w:p>
    <w:p>
      <w:pPr>
        <w:pStyle w:val="2"/>
        <w:rPr>
          <w:rFonts w:hint="default" w:ascii="Times New Roman" w:hAnsi="Times New Roman" w:eastAsia="方正仿宋_GBK" w:cs="Times New Roman"/>
          <w:color w:val="auto"/>
          <w:sz w:val="31"/>
          <w:szCs w:val="31"/>
          <w:lang w:val="en-US" w:eastAsia="zh-CN"/>
        </w:rPr>
      </w:pPr>
    </w:p>
    <w:p>
      <w:pPr>
        <w:rPr>
          <w:rFonts w:hint="default" w:ascii="Times New Roman" w:hAnsi="Times New Roman" w:eastAsia="方正仿宋_GBK" w:cs="Times New Roman"/>
          <w:color w:val="auto"/>
          <w:sz w:val="31"/>
          <w:szCs w:val="31"/>
          <w:lang w:val="en-US" w:eastAsia="zh-CN"/>
        </w:rPr>
      </w:pPr>
    </w:p>
    <w:p>
      <w:pPr>
        <w:rPr>
          <w:rFonts w:hint="default" w:ascii="Times New Roman" w:hAnsi="Times New Roman" w:eastAsia="方正仿宋_GBK" w:cs="Times New Roman"/>
          <w:color w:val="auto"/>
          <w:sz w:val="31"/>
          <w:szCs w:val="31"/>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    15个工作日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博湖县行政服务中心社会保险综合服务窗口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    联系电话：0996-6929085，0996-6623536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问</w:t>
      </w:r>
      <w:r>
        <w:rPr>
          <w:rFonts w:hint="eastAsia" w:ascii="方正仿宋_GBK" w:hAnsi="方正仿宋_GBK" w:eastAsia="方正仿宋_GBK" w:cs="方正仿宋_GBK"/>
          <w:color w:val="auto"/>
          <w:sz w:val="31"/>
          <w:szCs w:val="31"/>
          <w:lang w:val="en-US" w:eastAsia="zh-CN"/>
        </w:rPr>
        <w:t>：养老保险关系转移必须本人来柜台办理吗？</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答</w:t>
      </w:r>
      <w:r>
        <w:rPr>
          <w:rFonts w:hint="eastAsia" w:ascii="方正仿宋_GBK" w:hAnsi="方正仿宋_GBK" w:eastAsia="方正仿宋_GBK" w:cs="方正仿宋_GBK"/>
          <w:color w:val="auto"/>
          <w:sz w:val="31"/>
          <w:szCs w:val="31"/>
          <w:lang w:val="en-US" w:eastAsia="zh-CN"/>
        </w:rPr>
        <w:t>：养老保险关系转移直接可以在手机“掌上12333”APP上申请转移就可以，本人不用到现场办理。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rPr>
          <w:color w:val="auto"/>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lowerLetter"/>
      <w:suff w:val="space"/>
      <w:lvlText w:val="%1)"/>
      <w:lvlJc w:val="left"/>
      <w:pPr>
        <w:ind w:left="-1"/>
      </w:pPr>
    </w:lvl>
  </w:abstractNum>
  <w:abstractNum w:abstractNumId="1">
    <w:nsid w:val="0053208E"/>
    <w:multiLevelType w:val="multilevel"/>
    <w:tmpl w:val="0053208E"/>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pStyle w:val="9"/>
      <w:suff w:val="nothing"/>
      <w:lvlText w:val="%1.%2　"/>
      <w:lvlJc w:val="left"/>
      <w:pPr>
        <w:ind w:left="993" w:firstLine="0"/>
        <w:textAlignment w:val="baseline"/>
      </w:pPr>
      <w:rPr>
        <w:rFonts w:hint="eastAsia" w:ascii="黑体" w:hAnsi="Times New Roman" w:eastAsia="黑体" w:cs="Times New Roman"/>
        <w:b w:val="0"/>
        <w:bCs w:val="0"/>
        <w:iCs w:val="0"/>
        <w:caps w:val="0"/>
        <w:strike w:val="0"/>
        <w:dstrike w:val="0"/>
        <w:vanish w:val="0"/>
        <w:spacing w:val="0"/>
        <w:kern w:val="0"/>
        <w:position w:val="0"/>
        <w:sz w:val="21"/>
        <w:szCs w:val="21"/>
        <w:u w:val="none"/>
      </w:rPr>
    </w:lvl>
    <w:lvl w:ilvl="2" w:tentative="0">
      <w:start w:val="1"/>
      <w:numFmt w:val="decimal"/>
      <w:pStyle w:val="8"/>
      <w:suff w:val="nothing"/>
      <w:lvlText w:val="%1.%2.%3　"/>
      <w:lvlJc w:val="left"/>
      <w:pPr>
        <w:ind w:left="709"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301043"/>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四级条标题"/>
    <w:basedOn w:val="7"/>
    <w:qFormat/>
    <w:uiPriority w:val="0"/>
    <w:pPr>
      <w:numPr>
        <w:ilvl w:val="4"/>
      </w:numPr>
      <w:outlineLvl w:val="5"/>
    </w:pPr>
  </w:style>
  <w:style w:type="paragraph" w:customStyle="1" w:styleId="7">
    <w:name w:val="三级条标题"/>
    <w:basedOn w:val="8"/>
    <w:qFormat/>
    <w:uiPriority w:val="0"/>
    <w:pPr>
      <w:numPr>
        <w:numId w:val="0"/>
      </w:numPr>
      <w:outlineLvl w:val="4"/>
    </w:pPr>
  </w:style>
  <w:style w:type="paragraph" w:customStyle="1" w:styleId="8">
    <w:name w:val="二级条标题"/>
    <w:basedOn w:val="9"/>
    <w:qFormat/>
    <w:uiPriority w:val="0"/>
    <w:pPr>
      <w:numPr>
        <w:ilvl w:val="2"/>
      </w:numPr>
      <w:spacing w:before="50" w:after="50"/>
      <w:outlineLvl w:val="3"/>
    </w:pPr>
  </w:style>
  <w:style w:type="paragraph" w:customStyle="1" w:styleId="9">
    <w:name w:val="一级条标题"/>
    <w:basedOn w:val="1"/>
    <w:qFormat/>
    <w:uiPriority w:val="0"/>
    <w:pPr>
      <w:widowControl/>
      <w:numPr>
        <w:ilvl w:val="1"/>
        <w:numId w:val="1"/>
      </w:numPr>
      <w:spacing w:before="156" w:beforeLines="50" w:after="156" w:afterLines="50"/>
      <w:jc w:val="left"/>
      <w:outlineLvl w:val="2"/>
    </w:pPr>
    <w:rPr>
      <w:rFonts w:hint="eastAsia" w:ascii="黑体" w:hAnsi="Times New Roman" w:eastAsia="黑体" w:cs="Times New Roman"/>
      <w:kern w:val="0"/>
      <w:szCs w:val="21"/>
    </w:rPr>
  </w:style>
  <w:style w:type="paragraph" w:customStyle="1" w:styleId="10">
    <w:name w:val="段"/>
    <w:basedOn w:val="1"/>
    <w:qFormat/>
    <w:uiPriority w:val="0"/>
    <w:pPr>
      <w:widowControl/>
      <w:tabs>
        <w:tab w:val="center" w:pos="4201"/>
        <w:tab w:val="right" w:leader="dot" w:pos="9298"/>
      </w:tabs>
      <w:autoSpaceDE w:val="0"/>
      <w:autoSpaceDN w:val="0"/>
      <w:ind w:firstLine="420" w:firstLineChars="200"/>
    </w:pPr>
    <w:rPr>
      <w:rFonts w:hint="eastAsia" w:ascii="宋体" w:hAnsi="宋体" w:eastAsia="宋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2022-08-22T13:28:26Z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2022-08-18T11:23:00Z</dcterms:created>
  <dcterms:modified xsi:type="dcterms:W3CDTF">2022-08-22T13:28:26Z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166c7a-bf05-4765-b7ce-71be1eb91a58}">
  <ds:schemaRefs/>
</ds:datastoreItem>
</file>

<file path=customXml/itemProps3.xml><?xml version="1.0" encoding="utf-8"?>
<ds:datastoreItem xmlns:ds="http://schemas.openxmlformats.org/officeDocument/2006/customXml" ds:itemID="{1af4aa85-20a8-491b-8a30-1008f72055fa}">
  <ds:schemaRefs/>
</ds:datastoreItem>
</file>

<file path=customXml/itemProps4.xml><?xml version="1.0" encoding="utf-8"?>
<ds:datastoreItem xmlns:ds="http://schemas.openxmlformats.org/officeDocument/2006/customXml" ds:itemID="{a2cae8c6-9d53-4abf-b1e9-00ed17b8dbc6}">
  <ds:schemaRefs/>
</ds:datastoreItem>
</file>

<file path=customXml/itemProps5.xml><?xml version="1.0" encoding="utf-8"?>
<ds:datastoreItem xmlns:ds="http://schemas.openxmlformats.org/officeDocument/2006/customXml" ds:itemID="{7d5d3c52-4cc2-4b79-871c-106382c9f403}">
  <ds:schemaRefs/>
</ds:datastoreItem>
</file>

<file path=customXml/itemProps6.xml><?xml version="1.0" encoding="utf-8"?>
<ds:datastoreItem xmlns:ds="http://schemas.openxmlformats.org/officeDocument/2006/customXml" ds:itemID="{e72e91ed-56f5-4cc0-9e8c-c598b336bce7}">
  <ds:schemaRefs/>
</ds:datastoreItem>
</file>

<file path=customXml/itemProps7.xml><?xml version="1.0" encoding="utf-8"?>
<ds:datastoreItem xmlns:ds="http://schemas.openxmlformats.org/officeDocument/2006/customXml" ds:itemID="{1b3d1807-d999-462e-8ef6-ddfd3cfce1d3}">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2022-08-26T05:46:10Z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