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民用枪支及枪支主要零部件、弹药配置许可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中华人民共和国枪支管理法》第十条：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xml:space="preserve">受理申请的公安机关审查批准后，应当报请设区的市级人民政府公安机关核发民用枪支配购证件。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ascii="Times New Roman" w:hAnsi="Times New Roman" w:cs="Times New Roman"/>
          <w:sz w:val="21"/>
          <w:szCs w:val="21"/>
        </w:rPr>
        <w:t xml:space="preserve">  </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（一）狩猎场申请民用枪支配购证件的，应经省级以上人民政府公安机关审批；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（二）野生动物保护、饲养、科研单位和猎民、牧民申请民用枪支配购证件的，应经所在地的县级人民政府公安机关批准。</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（一）狩猎场申领配购证，提供省级以上人民政府公安机关批准文件；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（二）野生动物保护、饲养、科研单位和猎民、牧民申领配购证，提供县级人民政府公安机关批准文件。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spacing w:line="360" w:lineRule="auto"/>
        <w:jc w:val="left"/>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附录1</w:t>
      </w:r>
      <w:r>
        <w:rPr>
          <w:rFonts w:hint="eastAsia" w:ascii="方正仿宋_GBK" w:hAnsi="方正仿宋_GBK" w:eastAsia="方正仿宋_GBK" w:cs="方正仿宋_GBK"/>
          <w:color w:val="auto"/>
          <w:sz w:val="31"/>
          <w:szCs w:val="31"/>
          <w:lang w:eastAsia="zh-CN"/>
        </w:rPr>
        <w:t>：</w:t>
      </w:r>
      <w:r>
        <w:rPr>
          <w:rFonts w:hint="eastAsia" w:ascii="方正仿宋_GBK" w:hAnsi="方正仿宋_GBK" w:eastAsia="方正仿宋_GBK" w:cs="方正仿宋_GBK"/>
          <w:color w:val="auto"/>
          <w:sz w:val="31"/>
          <w:szCs w:val="31"/>
        </w:rPr>
        <w:t>民用枪支及枪支主要零部件、弹药配置许可流程图</w:t>
      </w:r>
    </w:p>
    <w:p>
      <w:pPr>
        <w:spacing w:line="360" w:lineRule="auto"/>
        <w:rPr>
          <w:rFonts w:hint="eastAsia" w:ascii="黑体" w:hAnsi="宋体" w:eastAsia="黑体"/>
          <w:color w:val="auto"/>
          <w:szCs w:val="21"/>
        </w:rPr>
      </w:pPr>
    </w:p>
    <w:p>
      <w:pPr>
        <w:jc w:val="left"/>
        <w:rPr>
          <w:rFonts w:ascii="Times New Roman" w:hAnsi="Times New Roman" w:cs="Times New Roman"/>
        </w:rPr>
      </w:pPr>
      <w:r>
        <w:rPr>
          <w:color w:val="auto"/>
        </w:rPr>
        <w:object>
          <v:shape id="_x0000_i1025" o:spt="75" type="#_x0000_t75" style="height:379.8pt;width:407.45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自受理申请之日起5个工作日内作出行政决定。</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dit="trackedChange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A932891"/>
    <w:rsid w:val="124F1143"/>
    <w:rsid w:val="2F847EF8"/>
    <w:rsid w:val="35CA0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uiPriority w:val="0"/>
    <w:pPr>
      <w:widowControl/>
      <w:jc w:val="left"/>
    </w:pPr>
    <w:rPr>
      <w:rFonts w:ascii="宋体" w:hAnsi="宋体"/>
      <w:kern w:val="0"/>
      <w:sz w:val="24"/>
      <w:szCs w:val="20"/>
    </w:r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qFormat/>
    <w:uiPriority w:val="0"/>
    <w:tblPr>
      <w:tblCellMar>
        <w:top w:w="0" w:type="dxa"/>
        <w:left w:w="108" w:type="dxa"/>
        <w:bottom w:w="0" w:type="dxa"/>
        <w:right w:w="108" w:type="dxa"/>
      </w:tblCellMar>
    </w:tblPr>
  </w:style>
  <w:style w:type="character" w:customStyle="1" w:styleId="8">
    <w:name w:val="默认段落字体1"/>
    <w:semiHidden/>
    <w:qFormat/>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页码1"/>
    <w:basedOn w:val="8"/>
    <w:uiPriority w:val="0"/>
  </w:style>
  <w:style w:type="paragraph" w:customStyle="1" w:styleId="15">
    <w:name w:val="列出段落1"/>
    <w:basedOn w:val="1"/>
    <w:qFormat/>
    <w:uiPriority w:val="99"/>
    <w:pPr>
      <w:ind w:firstLine="420" w:firstLineChars="200"/>
    </w:pPr>
  </w:style>
  <w:style w:type="paragraph" w:customStyle="1" w:styleId="1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2022-08-18T10:10:20Z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11c38-448d-4c0d-8a91-c67625607831}">
  <ds:schemaRefs/>
</ds:datastoreItem>
</file>

<file path=customXml/itemProps3.xml><?xml version="1.0" encoding="utf-8"?>
<ds:datastoreItem xmlns:ds="http://schemas.openxmlformats.org/officeDocument/2006/customXml" ds:itemID="{f93716ae-9fbb-48a9-b3b1-4d443d504676}">
  <ds:schemaRefs/>
</ds:datastoreItem>
</file>

<file path=customXml/itemProps4.xml><?xml version="1.0" encoding="utf-8"?>
<ds:datastoreItem xmlns:ds="http://schemas.openxmlformats.org/officeDocument/2006/customXml" ds:itemID="{163eade0-b29f-42d1-b7cf-f5f14b7f964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687</Words>
  <Characters>741</Characters>
  <Lines>0</Lines>
  <Paragraphs>0</Paragraphs>
  <TotalTime>0</TotalTime>
  <ScaleCrop>false</ScaleCrop>
  <LinksUpToDate>false</LinksUpToDate>
  <CharactersWithSpaces>753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A88B30D10F754258893BCD77B91C407A</vt:lpwstr>
  </property>
</Properties>
</file>