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剧毒化学品、易制爆危险化学品购销备案服务指南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塔里木公安局治安支队、开发区、各县市公安局治安大队。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【法规】《危险化学品安全管理条例》（2002年1月国务院令第344号公布,2013年12月国务院令第645号修订）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第四十一条第二款：剧毒化学品、易制爆危险化学品的销售企业、购买单位应当在销售、购买后5日内，将所销售、购买的剧毒化学品、易制爆危险化学品的品种、数量以及流向信息报所在地县级人民政府公安机关备案，并输入计算机系统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依法取得危险化学品许可证、危险化学品安全使用许可证、危险化学品经营许可证的企业，凭相应的许可证件购买易制爆危险化学品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(一 )经办人的身份证明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（二）书面提出申请（内容包含所销售、购买的剧毒化学品、易制爆危险化学品的品种、数量以及流向等信息）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（三）剧毒化学品、易制爆危险化学品销售、购买单位的备案申请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附录1：爆破作业单位备案流程图</w:t>
      </w:r>
    </w:p>
    <w:p>
      <w:pPr>
        <w:tabs>
          <w:tab w:val="left" w:pos="2590"/>
        </w:tabs>
        <w:spacing w:line="420" w:lineRule="exact"/>
        <w:jc w:val="center"/>
        <w:rPr>
          <w:rFonts w:hint="default" w:ascii="Times New Roman" w:hAnsi="Times New Roman" w:eastAsia="黑体" w:cs="Times New Roman"/>
          <w:color w:val="auto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cs="Times New Roman"/>
          <w:sz w:val="21"/>
        </w:rPr>
        <w:pict>
          <v:roundrect id="_x0000_s1026" o:spid="_x0000_s1026" o:spt="2" style="position:absolute;left:0pt;margin-left:148.5pt;margin-top:294.1pt;height:26.55pt;width:94.6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结束</w:t>
                  </w:r>
                </w:p>
              </w:txbxContent>
            </v:textbox>
          </v:roundrect>
        </w:pict>
      </w:r>
      <w:r>
        <w:pict>
          <v:shape id="_x0000_s1027" o:spid="_x0000_s1027" o:spt="202" type="#_x0000_t202" style="position:absolute;left:0pt;margin-left:156.8pt;margin-top:224.65pt;height:31.2pt;width:77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备案确认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（当场办结）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57.3pt;margin-top:185.95pt;height:19.6pt;width:76.25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现场受理、审核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29" o:spid="_x0000_s1029" o:spt="20" style="position:absolute;left:0pt;flip:x;margin-left:195.25pt;margin-top:170.65pt;height:16.2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0" o:spid="_x0000_s1030" o:spt="20" style="position:absolute;left:0pt;flip:x y;margin-left:25.15pt;margin-top:79.1pt;height:19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1" o:spid="_x0000_s1031" o:spt="20" style="position:absolute;left:0pt;margin-left:27.6pt;margin-top:147.25pt;height:0.05pt;width:30.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2" o:spid="_x0000_s1032" o:spt="20" style="position:absolute;left:0pt;margin-left:292.5pt;margin-top:76.4pt;height:0.05pt;width:12.6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shape id="_x0000_s1033" o:spid="_x0000_s1033" o:spt="202" type="#_x0000_t202" style="position:absolute;left:0pt;margin-left:306.3pt;margin-top:59.2pt;height:36.65pt;width:103.4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需要提交以下材料：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《爆破作业单位许可证》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工商营业执照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34" o:spid="_x0000_s1034" o:spt="20" style="position:absolute;left:0pt;flip:x;margin-left:195.3pt;margin-top:259.3pt;height:27.9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5" o:spid="_x0000_s1035" o:spt="20" style="position:absolute;left:0pt;flip:x;margin-left:194.65pt;margin-top:203.2pt;height:21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6" o:spid="_x0000_s1036" o:spt="20" style="position:absolute;left:0pt;flip:y;margin-left:26.4pt;margin-top:77.1pt;height:0.6pt;width:75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37" o:spid="_x0000_s1037" o:spt="202" type="#_x0000_t202" style="position:absolute;left:0pt;margin-left:-25.6pt;margin-top:99.35pt;height:25.4pt;width:106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告知需要补充或修改的项目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38" o:spid="_x0000_s1038" o:spt="20" style="position:absolute;left:0pt;flip:x y;margin-left:27.85pt;margin-top:129.95pt;height:16.7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9" o:spid="_x0000_s1039" o:spt="20" style="position:absolute;left:0pt;flip:x;margin-left:128.4pt;margin-top:145.15pt;height:0.55pt;width:16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40" o:spid="_x0000_s1040" o:spt="202" type="#_x0000_t202" style="position:absolute;left:0pt;margin-left:53.45pt;margin-top:133.4pt;height:31.2pt;width:71.55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材料不全或不符合符合法定形式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shape id="_x0000_s1041" o:spid="_x0000_s1041" o:spt="4" type="#_x0000_t4" style="position:absolute;left:0pt;margin-left:145.95pt;margin-top:121.45pt;height:47.3pt;width:100.35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受理审查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78.55pt;margin-top:134.7pt;height:19.6pt;width:60.7pt;z-index:251660288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不符合条件的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62.15pt;margin-top:133.5pt;height:25.4pt;width:3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结束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44" o:spid="_x0000_s1044" o:spt="20" style="position:absolute;left:0pt;flip:y;margin-left:332.05pt;margin-top:145.6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45" o:spid="_x0000_s1045" o:spt="20" style="position:absolute;left:0pt;flip:y;margin-left:248.5pt;margin-top:145.15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46" o:spid="_x0000_s1046" o:spt="20" style="position:absolute;left:0pt;margin-left:197.75pt;margin-top:96.15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47" o:spid="_x0000_s1047" o:spt="202" type="#_x0000_t202" style="position:absolute;left:0pt;margin-left:107.95pt;margin-top:56.5pt;height:38.7pt;width:183.4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lang w:val="en-US" w:eastAsia="zh-CN"/>
                    </w:rPr>
                    <w:t>收集材料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48" o:spid="_x0000_s1048" o:spt="20" style="position:absolute;left:0pt;margin-left:199.6pt;margin-top:29.95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roundrect id="_x0000_s1049" o:spid="_x0000_s1049" o:spt="2" style="position:absolute;left:0pt;margin-left:152.85pt;margin-top:3.4pt;height:26.55pt;width:94.6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当场办结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塔里木公安局治安支队，开发区，各县市公安局治安大队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9F57574"/>
    <w:rsid w:val="38F25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48" w:beforeLines="0" w:after="48" w:afterLines="0"/>
      <w:jc w:val="left"/>
    </w:pPr>
    <w:rPr>
      <w:rFonts w:ascii="宋体" w:hAnsi="宋体"/>
      <w:kern w:val="0"/>
      <w:sz w:val="24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  <w:szCs w:val="20"/>
    </w:rPr>
  </w:style>
  <w:style w:type="table" w:styleId="5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默认段落字体1"/>
    <w:semiHidden/>
    <w:uiPriority w:val="0"/>
  </w:style>
  <w:style w:type="paragraph" w:customStyle="1" w:styleId="9">
    <w:name w:val="纯文本1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">
    <w:name w:val="正文文本缩进 2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2022-08-18T09:14:36Z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157261920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731b9-708d-4e7d-acde-0dd2110c05dd}">
  <ds:schemaRefs/>
</ds:datastoreItem>
</file>

<file path=customXml/itemProps3.xml><?xml version="1.0" encoding="utf-8"?>
<ds:datastoreItem xmlns:ds="http://schemas.openxmlformats.org/officeDocument/2006/customXml" ds:itemID="{a544b580-6ef6-4689-a50c-9e882e67aa93}">
  <ds:schemaRefs/>
</ds:datastoreItem>
</file>

<file path=customXml/itemProps4.xml><?xml version="1.0" encoding="utf-8"?>
<ds:datastoreItem xmlns:ds="http://schemas.openxmlformats.org/officeDocument/2006/customXml" ds:itemID="{6f76cbb7-ae32-420a-bece-f7e0c4de7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536</Words>
  <Characters>598</Characters>
  <Lines>0</Lines>
  <Paragraphs>0</Paragraphs>
  <TotalTime>157261921</TotalTime>
  <ScaleCrop>false</ScaleCrop>
  <LinksUpToDate>false</LinksUpToDate>
  <CharactersWithSpaces>609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BA41D57AE7824F20A74EBDFFE02877DD</vt:lpwstr>
  </property>
</Properties>
</file>