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剧毒化学品、易制爆危险化学品购销备案服务指南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塔里木公安局治安支队、开发区、各县市公安局治安大队。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【法规】《危险化学品安全管理条例》（2002年1月国务院令第344号公布,2013年12月国务院令第645号修订）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第四十一条第二款：剧毒化学品、易制爆危险化学品的销售企业、购买单位应当在销售、购买后5日内，将所销售、购买的剧毒化学品、易制爆危险化学品的品种、数量以及流向信息报所在地县级人民政府公安机关备案，并输入计算机系统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依法取得危险化学品许可证、危险化学品安全使用许可证、危险化学品经营许可证的企业，凭相应的许可证件购买易制爆危险化学品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(一 )经办人的身份证明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（二）书面提出申请（内容包含所销售、购买的剧毒化学品、易制爆危险化学品的品种、数量以及流向等信息）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（三）剧毒化学品、易制爆危险化学品销售、购买单位的备案申请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</w:t>
      </w:r>
    </w:p>
    <w:p>
      <w:pPr>
        <w:autoSpaceDE w:val="0"/>
        <w:spacing w:line="360" w:lineRule="auto"/>
        <w:jc w:val="left"/>
        <w:outlineLvl w:val="1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z w:val="31"/>
          <w:szCs w:val="31"/>
        </w:rPr>
        <w:t>附录1：爆破作业单位备案流程图</w:t>
      </w:r>
    </w:p>
    <w:p>
      <w:pPr>
        <w:tabs>
          <w:tab w:val="left" w:pos="2590"/>
        </w:tabs>
        <w:spacing w:line="420" w:lineRule="exact"/>
        <w:jc w:val="center"/>
        <w:rPr>
          <w:rFonts w:hint="default" w:ascii="Times New Roman" w:hAnsi="Times New Roman" w:eastAsia="黑体" w:cs="Times New Roman"/>
          <w:color w:val="auto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w:pict>
          <v:roundrect id="_x0000_s1026" o:spid="_x0000_s1026" o:spt="2" style="position:absolute;left:0pt;margin-left:148.5pt;margin-top:294.1pt;height:26.55pt;width:94.6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结束</w:t>
                  </w:r>
                </w:p>
              </w:txbxContent>
            </v:textbox>
          </v:roundrect>
        </w:pict>
      </w:r>
      <w:r>
        <w:pict>
          <v:shape id="_x0000_s1027" o:spid="_x0000_s1027" o:spt="202" type="#_x0000_t202" style="position:absolute;left:0pt;margin-left:156.8pt;margin-top:224.65pt;height:31.2pt;width:77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备案确认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（当场办结）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57.3pt;margin-top:185.95pt;height:19.6pt;width:76.25pt;z-index:251660288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sz w:val="15"/>
                      <w:szCs w:val="15"/>
                      <w:lang w:val="en-US" w:eastAsia="zh-CN"/>
                    </w:rPr>
                    <w:t>现场受理、审核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1"/>
        </w:rPr>
        <w:pict>
          <v:line id="_x0000_s1029" o:spid="_x0000_s1029" o:spt="20" style="position:absolute;left:0pt;flip:x;margin-left:195.25pt;margin-top:170.65pt;height:16.2pt;width:0.0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30" o:spid="_x0000_s1030" o:spt="20" style="position:absolute;left:0pt;flip:x y;margin-left:25.15pt;margin-top:79.1pt;height:19pt;width:0.0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31" o:spid="_x0000_s1031" o:spt="20" style="position:absolute;left:0pt;margin-left:27.6pt;margin-top:147.25pt;height:0.05pt;width:30.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32" o:spid="_x0000_s1032" o:spt="20" style="position:absolute;left:0pt;margin-left:292.5pt;margin-top:76.4pt;height:0.05pt;width:12.6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_x0000_s1033" o:spid="_x0000_s1033" o:spt="202" type="#_x0000_t202" style="position:absolute;left:0pt;margin-left:306.3pt;margin-top:59.2pt;height:36.65pt;width:103.4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sz w:val="15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需要提交以下材料：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sz w:val="15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《爆破作业单位许可证》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sz w:val="15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工商营业执照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1"/>
        </w:rPr>
        <w:pict>
          <v:line id="_x0000_s1034" o:spid="_x0000_s1034" o:spt="20" style="position:absolute;left:0pt;flip:x;margin-left:195.3pt;margin-top:259.3pt;height:27.9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35" o:spid="_x0000_s1035" o:spt="20" style="position:absolute;left:0pt;flip:x;margin-left:194.65pt;margin-top:203.2pt;height:21.35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36" o:spid="_x0000_s1036" o:spt="20" style="position:absolute;left:0pt;flip:y;margin-left:26.4pt;margin-top:77.1pt;height:0.6pt;width:75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037" o:spid="_x0000_s1037" o:spt="202" type="#_x0000_t202" style="position:absolute;left:0pt;margin-left:-25.6pt;margin-top:99.35pt;height:25.4pt;width:106.7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告知需要补充或修改的项目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1"/>
        </w:rPr>
        <w:pict>
          <v:line id="_x0000_s1038" o:spid="_x0000_s1038" o:spt="20" style="position:absolute;left:0pt;flip:x y;margin-left:27.85pt;margin-top:129.95pt;height:16.7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39" o:spid="_x0000_s1039" o:spt="20" style="position:absolute;left:0pt;flip:x;margin-left:128.4pt;margin-top:145.15pt;height:0.55pt;width:16.7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040" o:spid="_x0000_s1040" o:spt="202" type="#_x0000_t202" style="position:absolute;left:0pt;margin-left:53.45pt;margin-top:133.4pt;height:31.2pt;width:71.55pt;z-index:251660288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sz w:val="15"/>
                      <w:szCs w:val="15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sz w:val="15"/>
                      <w:szCs w:val="15"/>
                      <w:lang w:val="en-US" w:eastAsia="zh-CN"/>
                    </w:rPr>
                    <w:t>材料不全或不符合符合法定形式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1"/>
        </w:rPr>
        <w:pict>
          <v:shape id="_x0000_s1041" o:spid="_x0000_s1041" o:spt="4" type="#_x0000_t4" style="position:absolute;left:0pt;margin-left:145.95pt;margin-top:121.45pt;height:47.3pt;width:100.35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受理审查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78.55pt;margin-top:134.7pt;height:19.6pt;width:60.7pt;z-index:251660288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auto"/>
                      <w:sz w:val="15"/>
                      <w:szCs w:val="15"/>
                      <w:lang w:val="en-US" w:eastAsia="zh-CN"/>
                    </w:rPr>
                    <w:t>不符合条件的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362.15pt;margin-top:133.5pt;height:25.4pt;width:3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结束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1"/>
        </w:rPr>
        <w:pict>
          <v:line id="_x0000_s1044" o:spid="_x0000_s1044" o:spt="20" style="position:absolute;left:0pt;flip:y;margin-left:332.05pt;margin-top:145.6pt;height:0.05pt;width:28.8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45" o:spid="_x0000_s1045" o:spt="20" style="position:absolute;left:0pt;flip:y;margin-left:248.5pt;margin-top:145.15pt;height:0.05pt;width:28.8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46" o:spid="_x0000_s1046" o:spt="20" style="position:absolute;left:0pt;margin-left:197.75pt;margin-top:96.15pt;height:25.35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047" o:spid="_x0000_s1047" o:spt="202" type="#_x0000_t202" style="position:absolute;left:0pt;margin-left:107.95pt;margin-top:56.5pt;height:38.7pt;width:183.4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lang w:val="en-US" w:eastAsia="zh-CN"/>
                    </w:rPr>
                    <w:t>收集材料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1"/>
        </w:rPr>
        <w:pict>
          <v:line id="_x0000_s1048" o:spid="_x0000_s1048" o:spt="20" style="position:absolute;left:0pt;margin-left:199.6pt;margin-top:29.95pt;height:25.35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roundrect id="_x0000_s1049" o:spid="_x0000_s1049" o:spt="2" style="position:absolute;left:0pt;margin-left:152.85pt;margin-top:3.4pt;height:26.55pt;width:94.6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开始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当场办结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塔里木公安局治安支队，开发区，各县市公安局治安大队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9F57574"/>
    <w:rsid w:val="38F25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48" w:beforeLines="0" w:after="48" w:afterLines="0"/>
      <w:jc w:val="left"/>
    </w:pPr>
    <w:rPr>
      <w:rFonts w:ascii="宋体" w:hAnsi="宋体"/>
      <w:kern w:val="0"/>
      <w:sz w:val="24"/>
    </w:rPr>
  </w:style>
  <w:style w:type="paragraph" w:styleId="3">
    <w:name w:val="Normal (Web)"/>
    <w:basedOn w:val="1"/>
    <w:uiPriority w:val="0"/>
    <w:pPr>
      <w:widowControl/>
      <w:jc w:val="left"/>
    </w:pPr>
    <w:rPr>
      <w:rFonts w:ascii="宋体" w:hAnsi="宋体"/>
      <w:kern w:val="0"/>
      <w:sz w:val="24"/>
      <w:szCs w:val="20"/>
    </w:rPr>
  </w:style>
  <w:style w:type="table" w:styleId="5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默认段落字体1"/>
    <w:semiHidden/>
    <w:uiPriority w:val="0"/>
  </w:style>
  <w:style w:type="paragraph" w:customStyle="1" w:styleId="9">
    <w:name w:val="纯文本1"/>
    <w:basedOn w:val="1"/>
    <w:qFormat/>
    <w:uiPriority w:val="0"/>
    <w:pPr>
      <w:widowControl/>
      <w:spacing w:before="48" w:beforeLines="0" w:after="48" w:afterLines="0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">
    <w:name w:val="正文文本缩进 2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2022-08-18T09:14:36Z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157261920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731b9-708d-4e7d-acde-0dd2110c05dd}">
  <ds:schemaRefs/>
</ds:datastoreItem>
</file>

<file path=customXml/itemProps3.xml><?xml version="1.0" encoding="utf-8"?>
<ds:datastoreItem xmlns:ds="http://schemas.openxmlformats.org/officeDocument/2006/customXml" ds:itemID="{a544b580-6ef6-4689-a50c-9e882e67aa93}">
  <ds:schemaRefs/>
</ds:datastoreItem>
</file>

<file path=customXml/itemProps4.xml><?xml version="1.0" encoding="utf-8"?>
<ds:datastoreItem xmlns:ds="http://schemas.openxmlformats.org/officeDocument/2006/customXml" ds:itemID="{6f76cbb7-ae32-420a-bece-f7e0c4de7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598</Characters>
  <Lines>0</Lines>
  <Paragraphs>0</Paragraphs>
  <TotalTime>157261921</TotalTime>
  <ScaleCrop>false</ScaleCrop>
  <LinksUpToDate>false</LinksUpToDate>
  <CharactersWithSpaces>609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BA41D57AE7824F20A74EBDFFE02877DD</vt:lpwstr>
  </property>
</Properties>
</file>