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冻结户口办理服务指南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（一）《中华人民共和国户口登记条例》第二条、第十一条。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（二）《新疆维吾尔自治区常住人口户口登记管理规范（试行）》。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pStyle w:val="2"/>
        <w:widowControl w:val="0"/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长期无法获取轨迹、失去联系的人员户口进行冻结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审批表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调查报告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其他无法获取任何活动轨迹的相应材料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026" o:spid="_x0000_s1026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027" o:spid="_x0000_s1027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28" o:spid="_x0000_s1028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29" o:spid="_x0000_s1029" o:spt="32" type="#_x0000_t32" style="position:absolute;left:0pt;flip:y;margin-left:30.75pt;margin-top:16.25pt;height:38.25pt;width:0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030" o:spid="_x0000_s1030" o:spt="32" type="#_x0000_t32" style="position:absolute;left:0pt;margin-left:30.75pt;margin-top:15.5pt;height:0pt;width:112.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31" o:spid="_x0000_s1031" o:spt="32" type="#_x0000_t32" style="position:absolute;left:0pt;margin-left:207.75pt;margin-top:14.5pt;height:52.5pt;width:0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32" o:spid="_x0000_s1032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33" o:spid="_x0000_s1033" o:spt="4" type="#_x0000_t4" style="position:absolute;left:0pt;margin-left:120.05pt;margin-top:7.15pt;height:76.45pt;width:175.4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034" o:spid="_x0000_s1034" o:spt="32" type="#_x0000_t32" style="position:absolute;left:0pt;flip:y;margin-left:30.45pt;margin-top:11.5pt;height:34.6pt;width:0.3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35" o:spid="_x0000_s1035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</w:rPr>
                    <w:t>不</w:t>
                  </w: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036" o:spid="_x0000_s1036" o:spt="32" type="#_x0000_t32" style="position:absolute;left:0pt;margin-left:30.5pt;margin-top:24pt;height:0pt;width:12.75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37" o:spid="_x0000_s1037" o:spt="32" type="#_x0000_t32" style="position:absolute;left:0pt;margin-left:106.25pt;margin-top:1.25pt;height:0.05pt;width:13.8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38" o:spid="_x0000_s1038" o:spt="32" type="#_x0000_t32" style="position:absolute;left:0pt;flip:x;margin-left:207.5pt;margin-top:17.6pt;height:35.65pt;width:0.3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39" o:spid="_x0000_s1039" o:spt="202" type="#_x0000_t202" style="position:absolute;left:0pt;margin-left:142.5pt;margin-top:9.95pt;height:32.3pt;width:128.25pt;z-index:25165926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ascii="Calibri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40" o:spid="_x0000_s1040" o:spt="32" type="#_x0000_t32" style="position:absolute;left:0pt;margin-left:207pt;margin-top:3.75pt;height:31.5pt;width:0.0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041" o:spid="_x0000_s1041" o:spt="202" type="#_x0000_t202" style="position:absolute;left:0pt;margin-left:141pt;margin-top:16.25pt;height:39pt;width:129.75pt;z-index:25166028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cs="Times New Roman"/>
                      <w:kern w:val="2"/>
                      <w:sz w:val="21"/>
                    </w:rPr>
                    <w:t>收回应征入伍人员户口簿并注销户口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042" o:spid="_x0000_s1042" o:spt="32" type="#_x0000_t32" style="position:absolute;left:0pt;margin-left:206.25pt;margin-top:13.75pt;height:31.5pt;width:0.05pt;z-index:2516602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043" o:spid="_x0000_s1043" o:spt="2" style="position:absolute;left:0pt;margin-left:140.25pt;margin-top: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  当场受理办结。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2FC06DC"/>
    <w:rsid w:val="357F0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4"/>
        <o:r id="V:Rule5" type="connector" idref="#_x0000_s1036"/>
        <o:r id="V:Rule6" type="connector" idref="#_x0000_s1037"/>
        <o:r id="V:Rule7" type="connector" idref="#_x0000_s1038"/>
        <o:r id="V:Rule8" type="connector" idref="#_x0000_s1040"/>
        <o:r id="V:Rule9" type="connector" idref="#_x0000_s104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要点1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2022-08-17T12:44:09Z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61532-8d0e-4d42-9a7b-da03e90c5f62}">
  <ds:schemaRefs/>
</ds:datastoreItem>
</file>

<file path=customXml/itemProps3.xml><?xml version="1.0" encoding="utf-8"?>
<ds:datastoreItem xmlns:ds="http://schemas.openxmlformats.org/officeDocument/2006/customXml" ds:itemID="{38cec0d3-a147-4c44-8320-a97b82a8a7d3}">
  <ds:schemaRefs/>
</ds:datastoreItem>
</file>

<file path=customXml/itemProps4.xml><?xml version="1.0" encoding="utf-8"?>
<ds:datastoreItem xmlns:ds="http://schemas.openxmlformats.org/officeDocument/2006/customXml" ds:itemID="{94f44e4e-ab8f-47a4-86ba-46e7e8ecd2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370</Characters>
  <Lines>0</Lines>
  <Paragraphs>0</Paragraphs>
  <TotalTime>157257600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9702A6BE025348AE8C7154CB81401BE0</vt:lpwstr>
  </property>
</Properties>
</file>