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对退出现役残疾军人集中供养的确定事项办理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服务指南</w:t>
      </w:r>
    </w:p>
    <w:bookmarkEnd w:id="0"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【法规】《军人抚恤优待条例》 (2004年8月1日中华人民共和国国务院、中华人民共和国中央军事委员会令第413号公布，2004年10月1日起实施，2019年3月2日《国务院关于修改部分行政法规的决定》第二次修订) 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第二十九条：退出现役的一级至四级残疾军人，由国家供养终身；其中，对需要长年医疗或者独身一人不便分散安置的，经省级人民政府退役军人事务部门批准，可以集中供养。 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widowControl/>
        <w:numPr>
          <w:ilvl w:val="0"/>
          <w:numId w:val="1"/>
        </w:numPr>
        <w:kinsoku w:val="0"/>
        <w:wordWrap w:val="0"/>
        <w:topLinePunct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受理条件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【行政法规】《军人抚恤优待条例》（国务院中央委令第602号）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第二十九条退出现役的一级至四级残疾军人，由国家供养终身；其中，对需要长年医疗或者独身一人不便分散安置的，经省级人民政府退役军人事务部门批准，可以集中供养。</w:t>
      </w:r>
    </w:p>
    <w:p>
      <w:pPr>
        <w:widowControl/>
        <w:kinsoku w:val="0"/>
        <w:wordWrap w:val="0"/>
        <w:topLinePunct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1.个人申请2.伤残证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集中供养流程图" type="#_x0000_t75" style="height:421.7pt;width:441.65pt;" filled="f" o:preferrelative="t" stroked="f" coordsize="21600,21600">
            <v:path/>
            <v:fill on="f" focussize="0,0"/>
            <v:stroke on="f"/>
            <v:imagedata r:id="rId4" o:title="集中供养流程图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无特定法定办结时限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无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6C1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82</Words>
  <Characters>472</Characters>
  <Application>Microsoft Office Word</Application>
  <DocSecurity>0</DocSecurity>
  <Lines>3</Lines>
  <Paragraphs>1</Paragraphs>
  <CharactersWithSpaces>553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2022-08-17T09:18:00Z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ca559-b744-42cb-aa97-93cd9495e9fd}">
  <ds:schemaRefs/>
</ds:datastoreItem>
</file>

<file path=customXml/itemProps3.xml><?xml version="1.0" encoding="utf-8"?>
<ds:datastoreItem xmlns:ds="http://schemas.openxmlformats.org/officeDocument/2006/customXml" ds:itemID="{8424238e-35e9-43de-8dd6-55267f90eb64}">
  <ds:schemaRefs/>
</ds:datastoreItem>
</file>

<file path=customXml/itemProps4.xml><?xml version="1.0" encoding="utf-8"?>
<ds:datastoreItem xmlns:ds="http://schemas.openxmlformats.org/officeDocument/2006/customXml" ds:itemID="{59e696bf-ec3d-447c-a222-891f0f8a9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