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560" w:lineRule="exact"/>
        <w:jc w:val="center"/>
        <w:rPr>
          <w:rFonts w:hint="eastAsia" w:ascii="方正小标宋_GBK" w:hAnsi="方正小标宋_GBK" w:eastAsia="方正小标宋_GBK" w:cs="方正小标宋_GBK"/>
          <w:b w:val="0"/>
          <w:bCs w:val="0"/>
          <w:color w:val="000000"/>
          <w:kern w:val="0"/>
          <w:sz w:val="40"/>
          <w:szCs w:val="40"/>
          <w:shd w:val="clear" w:color="auto" w:fill="FFFFFF"/>
        </w:rPr>
      </w:pPr>
      <w:r>
        <w:rPr>
          <w:rFonts w:hint="eastAsia" w:ascii="方正小标宋_GBK" w:hAnsi="方正小标宋_GBK" w:eastAsia="方正小标宋_GBK" w:cs="方正小标宋_GBK"/>
          <w:b w:val="0"/>
          <w:bCs w:val="0"/>
          <w:color w:val="000000"/>
          <w:kern w:val="0"/>
          <w:sz w:val="40"/>
          <w:szCs w:val="40"/>
          <w:shd w:val="clear" w:color="auto" w:fill="FFFFFF"/>
        </w:rPr>
        <w:t>在乡复员军人定期定量补助的认定事项办理</w:t>
      </w:r>
    </w:p>
    <w:p>
      <w:pPr>
        <w:widowControl/>
        <w:shd w:val="clear" w:color="auto" w:fill="FFFFFF"/>
        <w:spacing w:line="560" w:lineRule="exact"/>
        <w:jc w:val="center"/>
        <w:rPr>
          <w:rFonts w:hint="eastAsia" w:ascii="方正小标宋_GBK" w:hAnsi="方正小标宋_GBK" w:eastAsia="方正小标宋_GBK" w:cs="方正小标宋_GBK"/>
          <w:b w:val="0"/>
          <w:bCs w:val="0"/>
          <w:color w:val="000000"/>
          <w:sz w:val="40"/>
          <w:szCs w:val="40"/>
        </w:rPr>
      </w:pPr>
      <w:r>
        <w:rPr>
          <w:rFonts w:hint="eastAsia" w:ascii="方正小标宋_GBK" w:hAnsi="方正小标宋_GBK" w:eastAsia="方正小标宋_GBK" w:cs="方正小标宋_GBK"/>
          <w:b w:val="0"/>
          <w:bCs w:val="0"/>
          <w:color w:val="000000"/>
          <w:kern w:val="0"/>
          <w:sz w:val="40"/>
          <w:szCs w:val="40"/>
          <w:shd w:val="clear" w:color="auto" w:fill="FFFFFF"/>
        </w:rPr>
        <w:t>服务指南</w:t>
      </w:r>
    </w:p>
    <w:p>
      <w:pPr>
        <w:widowControl/>
        <w:shd w:val="clear" w:color="auto" w:fill="FFFFFF"/>
        <w:spacing w:line="560" w:lineRule="exact"/>
        <w:rPr>
          <w:rFonts w:hint="eastAsia" w:ascii="仿宋_GB2312" w:hAnsi="仿宋_GB2312" w:eastAsia="仿宋_GB2312" w:cs="仿宋_GB2312"/>
          <w:b/>
          <w:bCs/>
          <w:color w:val="000000"/>
          <w:kern w:val="0"/>
          <w:sz w:val="32"/>
          <w:szCs w:val="32"/>
        </w:rPr>
      </w:pPr>
      <w:r>
        <w:rPr>
          <w:rFonts w:hint="eastAsia" w:ascii="仿宋_GB2312" w:hAnsi="仿宋_GB2312" w:eastAsia="仿宋_GB2312" w:cs="仿宋_GB2312"/>
          <w:b/>
          <w:bCs/>
          <w:color w:val="000000"/>
          <w:kern w:val="0"/>
          <w:sz w:val="32"/>
          <w:szCs w:val="32"/>
          <w:shd w:val="clear" w:color="auto" w:fill="FFFFFF"/>
        </w:rPr>
        <w:t>    </w:t>
      </w:r>
    </w:p>
    <w:p>
      <w:pPr>
        <w:widowControl/>
        <w:shd w:val="clear" w:color="auto" w:fill="FFFFFF"/>
        <w:spacing w:line="56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kern w:val="0"/>
          <w:sz w:val="32"/>
          <w:szCs w:val="32"/>
          <w:shd w:val="clear" w:color="auto" w:fill="FFFFFF"/>
        </w:rPr>
        <w:t>一、实施机关</w:t>
      </w:r>
    </w:p>
    <w:p>
      <w:pPr>
        <w:widowControl/>
        <w:kinsoku w:val="0"/>
        <w:wordWrap w:val="0"/>
        <w:topLinePunct/>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shd w:val="clear" w:color="auto" w:fill="FFFFFF"/>
        </w:rPr>
        <w:t>博湖县退役军人事务局</w:t>
      </w:r>
    </w:p>
    <w:p>
      <w:pPr>
        <w:widowControl/>
        <w:shd w:val="clear" w:color="auto" w:fill="FFFFFF"/>
        <w:spacing w:line="56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kern w:val="0"/>
          <w:sz w:val="32"/>
          <w:szCs w:val="32"/>
          <w:shd w:val="clear" w:color="auto" w:fill="FFFFFF"/>
        </w:rPr>
        <w:t>二、实施依据</w:t>
      </w:r>
    </w:p>
    <w:p>
      <w:pPr>
        <w:tabs>
          <w:tab w:val="left" w:pos="-360"/>
        </w:tabs>
        <w:ind w:firstLine="6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shd w:val="clear" w:color="auto" w:fill="FFFFFF"/>
        </w:rPr>
        <w:t> 【法规】《军人抚恤优待条例》(</w:t>
      </w:r>
      <w:bookmarkStart w:id="0" w:name="_GoBack"/>
      <w:bookmarkEnd w:id="0"/>
      <w:r>
        <w:rPr>
          <w:rFonts w:hint="eastAsia" w:ascii="仿宋_GB2312" w:hAnsi="仿宋_GB2312" w:eastAsia="仿宋_GB2312" w:cs="仿宋_GB2312"/>
          <w:color w:val="000000"/>
          <w:kern w:val="0"/>
          <w:sz w:val="32"/>
          <w:szCs w:val="32"/>
          <w:shd w:val="clear" w:color="auto" w:fill="FFFFFF"/>
        </w:rPr>
        <w:t xml:space="preserve">2004年8月1日中华人民共和国国务院、中华人民共和国中央军事委员会令第413号公布，2004年10月1日起实施，2019年3月2日《国务院关于修改部分行政法规的决定》第二次修订) </w:t>
      </w:r>
    </w:p>
    <w:p>
      <w:pPr>
        <w:tabs>
          <w:tab w:val="left" w:pos="-360"/>
        </w:tabs>
        <w:ind w:firstLine="6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shd w:val="clear" w:color="auto" w:fill="FFFFFF"/>
        </w:rPr>
        <w:t xml:space="preserve">第四十四条：复员军人生活困难的，按照规定的条件，由当地人民政府退役军人事务部门给予定期定量补助，逐步改善其生活条件。 </w:t>
      </w:r>
    </w:p>
    <w:p>
      <w:pPr>
        <w:tabs>
          <w:tab w:val="left" w:pos="-360"/>
        </w:tabs>
        <w:ind w:firstLine="6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shd w:val="clear" w:color="auto" w:fill="FFFFFF"/>
        </w:rPr>
        <w:t>第五十三条：本条例据称的复员军人，是指在1954年10月31日之前入伍、后经批准从部队复员的人员。</w:t>
      </w:r>
    </w:p>
    <w:p>
      <w:pPr>
        <w:widowControl/>
        <w:shd w:val="clear" w:color="auto" w:fill="FFFFFF"/>
        <w:spacing w:line="56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kern w:val="0"/>
          <w:sz w:val="32"/>
          <w:szCs w:val="32"/>
          <w:shd w:val="clear" w:color="auto" w:fill="FFFFFF"/>
        </w:rPr>
        <w:t>三、受理条件</w:t>
      </w:r>
    </w:p>
    <w:p>
      <w:pPr>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shd w:val="clear" w:color="auto" w:fill="FFFFFF"/>
        </w:rPr>
        <w:t>1.1954年10月1日以前入伍的退伍军人（在乡退伍红军老战士、在乡西路军红军老战士、红军失散人员）2.自退出现役后从未经组织安排或本人申请到国家机关或企事业单位的相关材料。</w:t>
      </w:r>
    </w:p>
    <w:p>
      <w:pPr>
        <w:widowControl/>
        <w:shd w:val="clear" w:color="auto" w:fill="FFFFFF"/>
        <w:spacing w:line="56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kern w:val="0"/>
          <w:sz w:val="32"/>
          <w:szCs w:val="32"/>
          <w:shd w:val="clear" w:color="auto" w:fill="FFFFFF"/>
        </w:rPr>
        <w:t>四、办理材料</w:t>
      </w:r>
    </w:p>
    <w:p>
      <w:pPr>
        <w:ind w:left="4160" w:hanging="4160" w:hangingChars="13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shd w:val="clear" w:color="auto" w:fill="FFFFFF"/>
        </w:rPr>
        <w:t>    1.退役证或退役登记表2.户口本3.身份证4.社保缴费证明或社保领取证明</w:t>
      </w:r>
    </w:p>
    <w:p>
      <w:pPr>
        <w:widowControl/>
        <w:shd w:val="clear" w:color="auto" w:fill="FFFFFF"/>
        <w:spacing w:line="560" w:lineRule="exact"/>
        <w:rPr>
          <w:rFonts w:ascii="仿宋_GB2312" w:hAnsi="仿宋_GB2312" w:eastAsia="仿宋_GB2312" w:cs="仿宋_GB2312"/>
          <w:color w:val="000000"/>
          <w:sz w:val="32"/>
          <w:szCs w:val="32"/>
        </w:rPr>
      </w:pPr>
      <w:r>
        <w:rPr>
          <w:rFonts w:hint="eastAsia" w:ascii="仿宋_GB2312" w:hAnsi="仿宋_GB2312" w:eastAsia="仿宋_GB2312" w:cs="仿宋_GB2312"/>
          <w:b/>
          <w:bCs/>
          <w:color w:val="000000"/>
          <w:kern w:val="0"/>
          <w:sz w:val="32"/>
          <w:szCs w:val="32"/>
          <w:shd w:val="clear" w:color="auto" w:fill="FFFFFF"/>
        </w:rPr>
        <w:t>五、办理流程图</w:t>
      </w:r>
    </w:p>
    <w:p>
      <w:pPr>
        <w:widowControl/>
        <w:shd w:val="clear" w:color="auto" w:fill="FFFFFF"/>
        <w:rPr>
          <w:rFonts w:hint="eastAsia"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pict>
          <v:shape id="_x0000_i1025" o:spt="75" alt="在乡复员军人定期定量补助流程图" type="#_x0000_t75" style="height:451.1pt;width:441.7pt;" filled="f" o:preferrelative="t" stroked="f" coordsize="21600,21600">
            <v:path/>
            <v:fill on="f" focussize="0,0"/>
            <v:stroke on="f"/>
            <v:imagedata r:id="rId4" o:title="在乡复员军人定期定量补助流程图"/>
            <o:lock v:ext="edit" aspectratio="t"/>
            <w10:wrap type="none"/>
            <w10:anchorlock/>
          </v:shape>
        </w:pict>
      </w:r>
    </w:p>
    <w:p>
      <w:pPr>
        <w:widowControl/>
        <w:shd w:val="clear" w:color="auto" w:fill="FFFFFF"/>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b/>
          <w:bCs/>
          <w:kern w:val="0"/>
          <w:sz w:val="32"/>
          <w:szCs w:val="32"/>
          <w:shd w:val="clear" w:color="auto" w:fill="FFFFFF"/>
        </w:rPr>
        <w:t>六、办理时限</w:t>
      </w:r>
    </w:p>
    <w:p>
      <w:pPr>
        <w:widowControl/>
        <w:shd w:val="clear" w:color="auto" w:fill="FFFFFF"/>
        <w:spacing w:line="560" w:lineRule="exact"/>
        <w:rPr>
          <w:rFonts w:hint="eastAsia" w:ascii="仿宋_GB2312" w:eastAsia="仿宋_GB2312"/>
          <w:color w:val="000000"/>
          <w:sz w:val="30"/>
          <w:szCs w:val="30"/>
        </w:rPr>
      </w:pPr>
      <w:r>
        <w:rPr>
          <w:rFonts w:hint="eastAsia" w:ascii="仿宋_GB2312" w:hAnsi="仿宋_GB2312" w:eastAsia="仿宋_GB2312" w:cs="仿宋_GB2312"/>
          <w:kern w:val="0"/>
          <w:sz w:val="32"/>
          <w:szCs w:val="32"/>
          <w:shd w:val="clear" w:color="auto" w:fill="FFFFFF"/>
        </w:rPr>
        <w:t>    </w:t>
      </w:r>
      <w:r>
        <w:rPr>
          <w:rFonts w:hint="eastAsia" w:ascii="仿宋_GB2312" w:eastAsia="仿宋_GB2312"/>
          <w:color w:val="000000"/>
          <w:sz w:val="30"/>
          <w:szCs w:val="30"/>
        </w:rPr>
        <w:t>证件材料齐全60天给予办理。</w:t>
      </w:r>
    </w:p>
    <w:p>
      <w:pPr>
        <w:widowControl/>
        <w:shd w:val="clear" w:color="auto" w:fill="FFFFFF"/>
        <w:spacing w:line="560" w:lineRule="exact"/>
        <w:rPr>
          <w:rFonts w:hint="eastAsia"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shd w:val="clear" w:color="auto" w:fill="FFFFFF"/>
        </w:rPr>
        <w:t>七、收费标准</w:t>
      </w:r>
    </w:p>
    <w:p>
      <w:pPr>
        <w:widowControl/>
        <w:shd w:val="clear" w:color="auto" w:fill="FFFFFF"/>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shd w:val="clear" w:color="auto" w:fill="FFFFFF"/>
        </w:rPr>
        <w:t>    不收费</w:t>
      </w:r>
    </w:p>
    <w:p>
      <w:pPr>
        <w:widowControl/>
        <w:shd w:val="clear" w:color="auto" w:fill="FFFFFF"/>
        <w:spacing w:line="560" w:lineRule="exact"/>
        <w:rPr>
          <w:rFonts w:hint="eastAsia"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shd w:val="clear" w:color="auto" w:fill="FFFFFF"/>
        </w:rPr>
        <w:t>八、办理地址：</w:t>
      </w:r>
      <w:r>
        <w:rPr>
          <w:rFonts w:hint="eastAsia" w:ascii="仿宋_GB2312" w:hAnsi="仿宋_GB2312" w:eastAsia="仿宋_GB2312" w:cs="仿宋_GB2312"/>
          <w:kern w:val="0"/>
          <w:sz w:val="32"/>
          <w:szCs w:val="32"/>
          <w:shd w:val="clear" w:color="auto" w:fill="FFFFFF"/>
        </w:rPr>
        <w:t>博湖县综合中心一楼左边退役军人事务局综合业务科办公室</w:t>
      </w:r>
    </w:p>
    <w:p>
      <w:pPr>
        <w:widowControl/>
        <w:shd w:val="clear" w:color="auto" w:fill="FFFFFF"/>
        <w:spacing w:line="560" w:lineRule="exac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shd w:val="clear" w:color="auto" w:fill="FFFFFF"/>
        </w:rPr>
        <w:t>    联系电话：0996-6929513</w:t>
      </w:r>
    </w:p>
    <w:p>
      <w:pPr>
        <w:widowControl/>
        <w:shd w:val="clear" w:color="auto" w:fill="FFFFFF"/>
        <w:spacing w:line="560" w:lineRule="exact"/>
        <w:rPr>
          <w:rFonts w:hint="eastAsia"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shd w:val="clear" w:color="auto" w:fill="FFFFFF"/>
        </w:rPr>
        <w:t>九、办理时间：</w:t>
      </w:r>
      <w:r>
        <w:rPr>
          <w:rFonts w:hint="eastAsia" w:ascii="仿宋_GB2312" w:hAnsi="仿宋_GB2312" w:eastAsia="仿宋_GB2312" w:cs="仿宋_GB2312"/>
          <w:kern w:val="0"/>
          <w:sz w:val="32"/>
          <w:szCs w:val="32"/>
          <w:shd w:val="clear" w:color="auto" w:fill="FFFFFF"/>
        </w:rPr>
        <w:t>星期一至星期五（法定节假日除外）</w:t>
      </w:r>
    </w:p>
    <w:p>
      <w:pPr>
        <w:widowControl/>
        <w:shd w:val="clear" w:color="auto" w:fill="FFFFFF"/>
        <w:spacing w:line="560" w:lineRule="exac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shd w:val="clear" w:color="auto" w:fill="FFFFFF"/>
        </w:rPr>
        <w:t>    上午10：00-13：30  下午：16：00-19：30</w:t>
      </w:r>
    </w:p>
    <w:p>
      <w:pPr>
        <w:widowControl/>
        <w:numPr>
          <w:ilvl w:val="0"/>
          <w:numId w:val="1"/>
        </w:numPr>
        <w:shd w:val="clear" w:color="auto" w:fill="FFFFFF"/>
        <w:spacing w:line="560" w:lineRule="exact"/>
        <w:rPr>
          <w:rFonts w:hint="eastAsia"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shd w:val="clear" w:color="auto" w:fill="FFFFFF"/>
        </w:rPr>
        <w:t>常见问题：</w:t>
      </w:r>
      <w:r>
        <w:rPr>
          <w:rFonts w:hint="eastAsia" w:ascii="仿宋_GB2312" w:hAnsi="Times New Roman" w:eastAsia="仿宋_GB2312"/>
          <w:bCs/>
          <w:color w:val="000000"/>
          <w:sz w:val="30"/>
          <w:szCs w:val="30"/>
        </w:rPr>
        <w:t>在乡复员军人定期定量补助的认定</w:t>
      </w:r>
      <w:r>
        <w:rPr>
          <w:rFonts w:hint="eastAsia" w:ascii="仿宋_GB2312" w:eastAsia="仿宋_GB2312"/>
          <w:bCs/>
          <w:color w:val="000000"/>
          <w:sz w:val="30"/>
          <w:szCs w:val="30"/>
        </w:rPr>
        <w:t>：1.若退役证丢失，可查找个人档案中的入伍、退伍登记表复印件申报；2、若档案也遗失，需要入伍地武装部开具证明；3、若姓名与退役证件材料不相符，需公安部门开具证明。</w:t>
      </w:r>
    </w:p>
    <w:p>
      <w:pPr>
        <w:widowControl/>
        <w:shd w:val="clear" w:color="auto" w:fill="FFFFFF"/>
        <w:spacing w:line="560" w:lineRule="exact"/>
        <w:rPr>
          <w:rFonts w:hint="eastAsia" w:ascii="仿宋_GB2312" w:hAnsi="仿宋_GB2312" w:eastAsia="仿宋_GB2312" w:cs="仿宋_GB2312"/>
          <w:b/>
          <w:bCs/>
          <w:kern w:val="0"/>
          <w:sz w:val="32"/>
          <w:szCs w:val="32"/>
        </w:rPr>
      </w:pPr>
    </w:p>
    <w:p>
      <w:pPr>
        <w:widowControl/>
        <w:shd w:val="clear" w:color="auto" w:fill="FFFFFF"/>
        <w:spacing w:line="560" w:lineRule="exact"/>
        <w:rPr>
          <w:rFonts w:hint="eastAsia" w:ascii="仿宋_GB2312" w:hAnsi="仿宋_GB2312" w:eastAsia="仿宋_GB2312" w:cs="仿宋_GB2312"/>
          <w:kern w:val="0"/>
          <w:sz w:val="32"/>
          <w:szCs w:val="32"/>
        </w:rPr>
      </w:pPr>
    </w:p>
    <w:p>
      <w:pPr>
        <w:spacing w:line="560" w:lineRule="exact"/>
        <w:rPr>
          <w:rFonts w:hint="eastAsia" w:ascii="仿宋_GB2312" w:hAnsi="仿宋_GB2312" w:eastAsia="仿宋_GB2312" w:cs="仿宋_GB2312"/>
          <w:sz w:val="32"/>
          <w:szCs w:val="32"/>
        </w:rPr>
      </w:pPr>
    </w:p>
    <w:p>
      <w:pPr>
        <w:spacing w:line="560" w:lineRule="exact"/>
        <w:rPr>
          <w:rFonts w:hint="eastAsia" w:ascii="仿宋_GB2312" w:hAnsi="仿宋_GB2312" w:eastAsia="仿宋_GB2312" w:cs="仿宋_GB2312"/>
          <w:sz w:val="32"/>
          <w:szCs w:val="32"/>
        </w:rPr>
      </w:pPr>
    </w:p>
    <w:p>
      <w:pPr>
        <w:spacing w:line="560" w:lineRule="exact"/>
        <w:rPr>
          <w:rFonts w:hint="eastAsia" w:ascii="仿宋_GB2312" w:hAnsi="仿宋_GB2312" w:eastAsia="仿宋_GB2312" w:cs="仿宋_GB2312"/>
          <w:sz w:val="32"/>
          <w:szCs w:val="32"/>
        </w:rPr>
      </w:pPr>
    </w:p>
    <w:p>
      <w:pPr>
        <w:spacing w:line="560" w:lineRule="exact"/>
        <w:rPr>
          <w:rFonts w:hint="eastAsia" w:ascii="仿宋_GB2312" w:hAnsi="仿宋_GB2312" w:eastAsia="仿宋_GB2312" w:cs="仿宋_GB2312"/>
          <w:sz w:val="32"/>
          <w:szCs w:val="32"/>
        </w:rPr>
      </w:pPr>
    </w:p>
    <w:p>
      <w:pPr>
        <w:spacing w:line="560" w:lineRule="exact"/>
        <w:rPr>
          <w:rFonts w:hint="eastAsia" w:ascii="仿宋_GB2312" w:hAnsi="仿宋_GB2312" w:eastAsia="仿宋_GB2312" w:cs="仿宋_GB2312"/>
          <w:sz w:val="32"/>
          <w:szCs w:val="32"/>
        </w:rPr>
      </w:pPr>
    </w:p>
    <w:p>
      <w:pPr>
        <w:spacing w:line="560" w:lineRule="exact"/>
        <w:rPr>
          <w:rFonts w:hint="eastAsia" w:ascii="仿宋_GB2312" w:hAnsi="仿宋_GB2312" w:eastAsia="仿宋_GB2312" w:cs="仿宋_GB2312"/>
          <w:sz w:val="32"/>
          <w:szCs w:val="32"/>
        </w:rPr>
      </w:pPr>
    </w:p>
    <w:p>
      <w:pPr>
        <w:spacing w:line="560" w:lineRule="exact"/>
        <w:rPr>
          <w:rFonts w:hint="eastAsia" w:ascii="仿宋_GB2312" w:hAnsi="仿宋_GB2312" w:eastAsia="仿宋_GB2312" w:cs="仿宋_GB2312"/>
          <w:sz w:val="32"/>
          <w:szCs w:val="32"/>
        </w:rPr>
      </w:pPr>
    </w:p>
    <w:p>
      <w:pPr>
        <w:spacing w:line="560" w:lineRule="exact"/>
        <w:rPr>
          <w:rFonts w:hint="eastAsia" w:ascii="仿宋_GB2312" w:hAnsi="仿宋_GB2312" w:eastAsia="仿宋_GB2312" w:cs="仿宋_GB2312"/>
          <w:sz w:val="32"/>
          <w:szCs w:val="32"/>
        </w:rPr>
      </w:pPr>
    </w:p>
    <w:p>
      <w:pPr>
        <w:spacing w:line="560" w:lineRule="exact"/>
        <w:rPr>
          <w:rFonts w:hint="eastAsia" w:ascii="仿宋_GB2312" w:hAnsi="仿宋_GB2312" w:eastAsia="仿宋_GB2312" w:cs="仿宋_GB2312"/>
          <w:sz w:val="32"/>
          <w:szCs w:val="32"/>
        </w:rPr>
      </w:pPr>
    </w:p>
    <w:p>
      <w:pPr>
        <w:spacing w:line="560" w:lineRule="exact"/>
        <w:rPr>
          <w:rFonts w:hint="eastAsia" w:ascii="仿宋_GB2312" w:hAnsi="仿宋_GB2312" w:eastAsia="仿宋_GB2312" w:cs="仿宋_GB2312"/>
          <w:sz w:val="32"/>
          <w:szCs w:val="32"/>
        </w:rPr>
      </w:pPr>
    </w:p>
    <w:p>
      <w:pPr>
        <w:spacing w:line="560" w:lineRule="exact"/>
        <w:rPr>
          <w:rFonts w:hint="eastAsia" w:ascii="仿宋_GB2312" w:hAnsi="仿宋_GB2312" w:eastAsia="仿宋_GB2312" w:cs="仿宋_GB2312"/>
          <w:sz w:val="32"/>
          <w:szCs w:val="32"/>
        </w:rPr>
      </w:pPr>
    </w:p>
    <w:p>
      <w:pPr>
        <w:spacing w:line="560" w:lineRule="exact"/>
        <w:rPr>
          <w:rFonts w:hint="eastAsia" w:ascii="仿宋_GB2312" w:hAnsi="仿宋_GB2312" w:eastAsia="仿宋_GB2312" w:cs="仿宋_GB2312"/>
          <w:sz w:val="32"/>
          <w:szCs w:val="32"/>
        </w:rPr>
      </w:pPr>
    </w:p>
    <w:p>
      <w:pPr>
        <w:rPr>
          <w:rFonts w:hint="eastAsia" w:ascii="仿宋_GB2312" w:eastAsia="仿宋_GB2312"/>
          <w:bCs/>
          <w:color w:val="000000"/>
          <w:sz w:val="30"/>
          <w:szCs w:val="30"/>
        </w:rPr>
      </w:pPr>
    </w:p>
    <w:p>
      <w:pPr>
        <w:rPr>
          <w:rFonts w:hint="eastAsia" w:ascii="仿宋_GB2312" w:eastAsia="仿宋_GB2312"/>
          <w:bCs/>
          <w:color w:val="000000"/>
          <w:sz w:val="30"/>
          <w:szCs w:val="30"/>
        </w:rPr>
      </w:pPr>
    </w:p>
    <w:p>
      <w:pPr>
        <w:rPr>
          <w:rFonts w:hint="eastAsia" w:ascii="仿宋_GB2312" w:eastAsia="仿宋_GB2312"/>
          <w:bCs/>
          <w:color w:val="000000"/>
          <w:sz w:val="30"/>
          <w:szCs w:val="30"/>
        </w:rPr>
      </w:pPr>
    </w:p>
    <w:p>
      <w:pPr>
        <w:rPr>
          <w:rFonts w:hint="eastAsia" w:ascii="仿宋_GB2312" w:hAnsi="仿宋_GB2312" w:eastAsia="仿宋_GB2312" w:cs="仿宋_GB2312"/>
          <w:kern w:val="0"/>
          <w:sz w:val="32"/>
          <w:szCs w:val="32"/>
        </w:rPr>
      </w:pPr>
    </w:p>
    <w:p>
      <w:pPr>
        <w:rPr>
          <w:rFonts w:hint="eastAsia" w:ascii="仿宋_GB2312" w:hAnsi="仿宋_GB2312" w:eastAsia="仿宋_GB2312" w:cs="仿宋_GB2312"/>
          <w:kern w:val="0"/>
          <w:sz w:val="32"/>
          <w:szCs w:val="32"/>
        </w:rPr>
      </w:pPr>
    </w:p>
    <w:p>
      <w:pPr>
        <w:rPr>
          <w:rFonts w:hint="eastAsia" w:ascii="仿宋_GB2312" w:hAnsi="仿宋_GB2312" w:eastAsia="仿宋_GB2312" w:cs="仿宋_GB2312"/>
          <w:kern w:val="0"/>
          <w:sz w:val="32"/>
          <w:szCs w:val="32"/>
        </w:rPr>
      </w:pPr>
    </w:p>
    <w:p>
      <w:pPr>
        <w:rPr>
          <w:rFonts w:hint="eastAsia" w:ascii="仿宋_GB2312" w:hAnsi="仿宋_GB2312" w:eastAsia="仿宋_GB2312" w:cs="仿宋_GB2312"/>
          <w:kern w:val="0"/>
          <w:sz w:val="32"/>
          <w:szCs w:val="32"/>
        </w:rPr>
      </w:pPr>
    </w:p>
    <w:p>
      <w:pPr>
        <w:rPr>
          <w:rFonts w:hint="eastAsia" w:ascii="仿宋_GB2312" w:hAnsi="仿宋_GB2312" w:eastAsia="仿宋_GB2312" w:cs="仿宋_GB2312"/>
          <w:kern w:val="0"/>
          <w:sz w:val="32"/>
          <w:szCs w:val="32"/>
        </w:rPr>
      </w:pPr>
    </w:p>
    <w:p>
      <w:pPr>
        <w:rPr>
          <w:rFonts w:hint="eastAsia" w:ascii="仿宋_GB2312" w:hAnsi="仿宋_GB2312" w:eastAsia="仿宋_GB2312" w:cs="仿宋_GB2312"/>
          <w:kern w:val="0"/>
          <w:sz w:val="32"/>
          <w:szCs w:val="32"/>
        </w:rPr>
      </w:pPr>
    </w:p>
    <w:p>
      <w:pPr>
        <w:rPr>
          <w:rFonts w:hint="eastAsia" w:ascii="仿宋_GB2312" w:hAnsi="仿宋_GB2312" w:eastAsia="仿宋_GB2312" w:cs="仿宋_GB2312"/>
          <w:kern w:val="0"/>
          <w:sz w:val="32"/>
          <w:szCs w:val="32"/>
        </w:rPr>
      </w:pPr>
    </w:p>
    <w:p>
      <w:pPr>
        <w:spacing w:line="560" w:lineRule="exact"/>
        <w:rPr>
          <w:rFonts w:hint="eastAsia" w:ascii="仿宋_GB2312" w:hAnsi="仿宋_GB2312" w:eastAsia="仿宋_GB2312" w:cs="仿宋_GB2312"/>
          <w:sz w:val="32"/>
          <w:szCs w:val="32"/>
        </w:rPr>
      </w:pPr>
    </w:p>
    <w:p>
      <w:pPr>
        <w:spacing w:line="560" w:lineRule="exact"/>
        <w:rPr>
          <w:rFonts w:hint="eastAsia" w:ascii="仿宋_GB2312" w:hAnsi="仿宋_GB2312" w:eastAsia="仿宋_GB2312" w:cs="仿宋_GB2312"/>
          <w:sz w:val="32"/>
          <w:szCs w:val="32"/>
        </w:rPr>
      </w:pPr>
    </w:p>
    <w:sectPr>
      <w:pgSz w:w="11906" w:h="16838"/>
      <w:pgMar w:top="1871" w:right="1531" w:bottom="1984" w:left="153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小标宋_GBK">
    <w:panose1 w:val="03000509000000000000"/>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3208E"/>
    <w:multiLevelType w:val="singleLevel"/>
    <w:tmpl w:val="0053208E"/>
    <w:lvl w:ilvl="0" w:tentative="0">
      <w:start w:val="10"/>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documentProtection w:edit="trackedChanges" w:enforcement="0"/>
  <w:defaultTabStop w:val="420"/>
  <w:drawingGridVerticalSpacing w:val="156"/>
  <w:noPunctuationKerning w:val="1"/>
  <w:characterSpacingControl w:val="compressPunctuation"/>
  <w:noLineBreaksAfter w:lang="zh-CN" w:val="([{·‘“〈《「『【〔〖（．［｛￡￥"/>
  <w:noLineBreaksBefore w:lang="zh-CN" w:val="!),.:;?]}¨·ˇˉ―‖’”…∶、。〃々〉》」』】〕〗！＂＇），．：；？］｀｜｝～￠"/>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docVars>
    <w:docVar w:name="commondata" w:val="eyJoZGlkIjoiNmZiM2JjZjQ4M2U3OGZlZjY2N2NiMGJkNGQ3MjlmZWUifQ=="/>
  </w:docVars>
  <w:rsids>
    <w:rsidRoot w:val="00000000"/>
    <w:rsid w:val="6A52276F"/>
  </w:rsids>
  <m:mathPr>
    <m:mathFont m:val="Cambria Math"/>
    <m:brkBin m:val="before"/>
    <m:brkBinSub m:val="--"/>
    <m:smallFrac m:val="0"/>
    <m:dispDef/>
    <m:lMargin m:val="0"/>
    <m:rMargin m:val="0"/>
    <m:defJc m:val="centerGroup"/>
    <m:wrapIndent m:val="1440"/>
    <m:intLim m:val="subSup"/>
    <m:naryLim m:val="undOvr"/>
    <m:interSp m:val="0"/>
    <m:intraSp m:val="0"/>
    <m:postSp m:val="0"/>
    <m:preSp m:val="0"/>
    <m:wrapRight m:val="1"/>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iPriority="99" w:name="HTML Typewriter"/>
    <w:lsdException w:unhideWhenUsed="0" w:uiPriority="0" w:semiHidden="0" w:name="HTML Variable"/>
    <w:lsdException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uiPriority w:val="0"/>
  </w:style>
  <w:style w:type="table" w:default="1" w:styleId="2">
    <w:name w:val="Normal Table"/>
    <w:uiPriority w:val="0"/>
    <w:tblPr>
      <w:tblCellMar>
        <w:top w:w="0" w:type="dxa"/>
        <w:left w:w="108" w:type="dxa"/>
        <w:bottom w:w="0" w:type="dxa"/>
        <w:right w:w="108" w:type="dxa"/>
      </w:tblCellMar>
    </w:tblPr>
  </w:style>
  <w:style w:type="table" w:styleId="3">
    <w:name w:val="Table Grid"/>
    <w:basedOn w:val="4"/>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4">
    <w:name w:val="普通表格1"/>
    <w:semiHidden/>
    <w:uiPriority w:val="0"/>
    <w:tblPr>
      <w:tblCellMar>
        <w:top w:w="0" w:type="dxa"/>
        <w:left w:w="108" w:type="dxa"/>
        <w:bottom w:w="0" w:type="dxa"/>
        <w:right w:w="108" w:type="dxa"/>
      </w:tblCellMar>
    </w:tblPr>
  </w:style>
  <w:style w:type="character" w:customStyle="1" w:styleId="6">
    <w:name w:val="默认段落字体1"/>
    <w:semiHidden/>
    <w:uiPriority w:val="0"/>
  </w:style>
</w:styles>
</file>

<file path=word/_rels/document.xml.rels><?xml version="1.0" encoding="UTF-8" standalone="yes"?>
<Relationships xmlns="http://schemas.openxmlformats.org/package/2006/relationships"><Relationship Id="rId9" Type="http://schemas.openxmlformats.org/officeDocument/2006/relationships/customXml" Target="../customXml/item4.xml"/><Relationship Id="rId8" Type="http://schemas.openxmlformats.org/officeDocument/2006/relationships/customXml" Target="../customXml/item3.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Properties xmlns:vt="http://schemas.openxmlformats.org/officeDocument/2006/docPropsVTypes" xmlns="http://schemas.openxmlformats.org/officeDocument/2006/custom-properties">
  <property fmtid="{D5CDD505-2E9C-101B-9397-08002B2CF9AE}" pid="2" name="KSOProductBuildVer">
    <vt:lpstr>2052-11.8.2.9022</vt:lpstr>
  </property>
  <property fmtid="{D5CDD505-2E9C-101B-9397-08002B2CF9AE}" pid="3" name="ICV">
    <vt:lpstr>B8A4CB224C514E4DB47711A07E559DAF</vt:lpstr>
  </property>
</Properties>
</file>

<file path=customXml/item3.xml><?xml version="1.0" encoding="utf-8"?>
<Properties xmlns:vt="http://schemas.openxmlformats.org/officeDocument/2006/docPropsVTypes" xmlns="http://schemas.openxmlformats.org/officeDocument/2006/extended-properties">
  <Template>Normal</Template>
  <TotalTime>1</TotalTime>
  <Pages>4</Pages>
  <Words>105</Words>
  <Characters>603</Characters>
  <Application>Microsoft Office Word</Application>
  <DocSecurity>0</DocSecurity>
  <Lines>5</Lines>
  <Paragraphs>1</Paragraphs>
  <CharactersWithSpaces>707</CharactersWithSpaces>
  <AppVersion>12.0000</AppVersion>
</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MyPC</cp:lastModifiedBy>
  <cp:revision>2</cp:revision>
  <dcterms:created xsi:type="dcterms:W3CDTF">2022-05-10T10:10:00Z</dcterms:created>
  <dcterms:modified xsi:type="dcterms:W3CDTF">2022-08-17T09:02:00Z</dcterms:modified>
</cp:core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f267b51-4333-4cad-b59e-574dde2f8a13}">
  <ds:schemaRefs/>
</ds:datastoreItem>
</file>

<file path=customXml/itemProps3.xml><?xml version="1.0" encoding="utf-8"?>
<ds:datastoreItem xmlns:ds="http://schemas.openxmlformats.org/officeDocument/2006/customXml" ds:itemID="{4f9fb1e2-62af-476c-8781-8697a111b6ef}">
  <ds:schemaRefs/>
</ds:datastoreItem>
</file>

<file path=customXml/itemProps4.xml><?xml version="1.0" encoding="utf-8"?>
<ds:datastoreItem xmlns:ds="http://schemas.openxmlformats.org/officeDocument/2006/customXml" ds:itemID="{d75f6ea5-c85b-4be6-a419-1430ca058fad}">
  <ds:schemaRefs/>
</ds:datastoreItem>
</file>

<file path=docProps/app.xml><?xml version="1.0" encoding="utf-8"?>
<Properties xmlns="http://schemas.openxmlformats.org/officeDocument/2006/extended-properties" xmlns:vt="http://schemas.openxmlformats.org/officeDocument/2006/docPropsVTypes">
  <Template>Normal</Template>
  <Pages>4</Pages>
  <Words>105</Words>
  <Characters>603</Characters>
  <Lines>5</Lines>
  <Paragraphs>1</Paragraphs>
  <TotalTime>1</TotalTime>
  <ScaleCrop>false</ScaleCrop>
  <LinksUpToDate>false</LinksUpToDate>
  <CharactersWithSpaces>707</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2022-05-10T10:10:00Z</dcterms:created>
  <dc:creator>Administrator</dc:creator>
  <cp:lastModifiedBy>Administrator</cp:lastModifiedBy>
  <dcterms:modified xsi:type="dcterms:W3CDTF">2022-08-22T10:48:05Z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