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优抚对象医疗保障事项办理服务指南</w:t>
      </w:r>
    </w:p>
    <w:bookmarkEnd w:id="0"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博湖县退役军人事务局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 【规范性文件】民政部、财政部、劳动和社会保障部、卫生部《关于印发优抚对象医疗保障办法的通知》(民发[2007]101号    2007年7月6日) 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　第四条：国家对一至六级残疾军人的医疗费用予以保障。一至六级残疾军人参加城镇职工基本医疗保险，并在此基础上享受优抚对象医疗补助，具体办法按照《民政部、财政部、劳动和社会保障部关于印发〈一至六级残疾军人医疗保障办法〉的通知》(民发[2005]199号)规定执行。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九条：七至十级残疾军人旧伤复发的医疗费用，已经参加工伤保险的，由工伤保险基金支付未参加工伤保险的，有工作的由工作单位解决所在单位无力支付和无工作单位的，由当地政府从优抚对象医疗补助资金中解决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三、受理条件</w:t>
      </w:r>
    </w:p>
    <w:p>
      <w:pPr>
        <w:tabs>
          <w:tab w:val="left" w:pos="-36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  符合退出现役的残疾军人、在乡复员军人、带病回乡退伍军人、以及享受国家抚恤和生活补助的烈士遗属、因公牺牲军人遗属、病故军人遗属、参战参试退役军人要求的人员。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四、办理材料</w:t>
      </w:r>
    </w:p>
    <w:p>
      <w:pPr>
        <w:ind w:left="2227" w:hanging="2227" w:hangingChars="696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1.病例2.医疗费用收据3.身份证4.户口本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pict>
          <v:shape id="_x0000_i1025" o:spt="75" alt="优抚对象医疗保障流程图" type="#_x0000_t75" style="height:451.95pt;width:441.8pt;" filled="f" o:preferrelative="t" stroked="f" coordsize="21600,21600">
            <v:path/>
            <v:fill on="f" focussize="0,0"/>
            <v:stroke on="f"/>
            <v:imagedata r:id="rId4" o:title="优抚对象医疗保障流程图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证件材料齐全60天补助资金付款到账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博湖县综合中心一楼左边退役军人事务局综合业务科办公室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    联系电话：0996-6929513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    上午10：00-13：30  下午：16：00-19：30</w:t>
      </w: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ascii="仿宋_GB2312" w:hAnsi="Times New Roman" w:eastAsia="仿宋_GB2312"/>
          <w:bCs/>
          <w:color w:val="000000"/>
          <w:sz w:val="30"/>
          <w:szCs w:val="30"/>
        </w:rPr>
        <w:t>优抚对象医疗保障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：报销人需要提供交费发票与费用清单明细表原件材料；</w:t>
      </w: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mZiM2JjZjQ4M2U3OGZlZjY2N2NiMGJkNGQ3MjlmZWUifQ=="/>
  </w:docVars>
  <w:rsids>
    <w:rsidRoot w:val="00000000"/>
    <w:rsid w:val="42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103</Words>
  <Characters>593</Characters>
  <Application>Microsoft Office Word</Application>
  <DocSecurity>0</DocSecurity>
  <Lines>4</Lines>
  <Paragraphs>1</Paragraphs>
  <CharactersWithSpaces>695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2022-05-10T10:10:00Z</dcterms:created>
  <dcterms:modified xsi:type="dcterms:W3CDTF">2022-08-17T09:06:00Z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e7175-7888-48a9-9a41-93a6b8640966}">
  <ds:schemaRefs/>
</ds:datastoreItem>
</file>

<file path=customXml/itemProps3.xml><?xml version="1.0" encoding="utf-8"?>
<ds:datastoreItem xmlns:ds="http://schemas.openxmlformats.org/officeDocument/2006/customXml" ds:itemID="{c4e695df-ad55-42c5-ab3d-2d29381bcf13}">
  <ds:schemaRefs/>
</ds:datastoreItem>
</file>

<file path=customXml/itemProps4.xml><?xml version="1.0" encoding="utf-8"?>
<ds:datastoreItem xmlns:ds="http://schemas.openxmlformats.org/officeDocument/2006/customXml" ds:itemID="{27ddeb99-9103-444b-a619-f9e9967a6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2022-08-22T10:45:39Z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